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tabs>
          <w:tab w:val="left" w:pos="1050"/>
          <w:tab w:val="right" w:leader="dot" w:pos="9402"/>
        </w:tabs>
        <w:snapToGrid w:val="0"/>
        <w:spacing w:line="480" w:lineRule="exact"/>
        <w:jc w:val="center"/>
        <w:rPr>
          <w:rStyle w:val="7"/>
          <w:rFonts w:hint="eastAsia" w:ascii="宋体" w:hAnsi="宋体" w:eastAsia="宋体" w:cs="宋体"/>
          <w:b/>
          <w:color w:val="auto"/>
          <w:w w:val="80"/>
          <w:kern w:val="44"/>
          <w:sz w:val="32"/>
          <w:szCs w:val="32"/>
          <w:highlight w:val="none"/>
        </w:rPr>
      </w:pPr>
      <w:r>
        <w:rPr>
          <w:rStyle w:val="7"/>
          <w:rFonts w:hint="eastAsia" w:ascii="宋体" w:hAnsi="宋体" w:eastAsia="宋体" w:cs="宋体"/>
          <w:b/>
          <w:color w:val="auto"/>
          <w:w w:val="80"/>
          <w:kern w:val="44"/>
          <w:sz w:val="32"/>
          <w:szCs w:val="32"/>
          <w:highlight w:val="none"/>
          <w:lang w:val="en-US" w:eastAsia="zh-CN"/>
        </w:rPr>
        <w:t>第一部分 南通市大数据发展集团有限公司招标代理服务机构</w:t>
      </w:r>
      <w:r>
        <w:rPr>
          <w:rStyle w:val="7"/>
          <w:rFonts w:hint="eastAsia" w:ascii="宋体" w:hAnsi="宋体" w:eastAsia="宋体" w:cs="宋体"/>
          <w:b/>
          <w:color w:val="auto"/>
          <w:w w:val="80"/>
          <w:kern w:val="44"/>
          <w:sz w:val="32"/>
          <w:szCs w:val="32"/>
          <w:highlight w:val="none"/>
        </w:rPr>
        <w:t>项目需求</w:t>
      </w:r>
    </w:p>
    <w:p>
      <w:pPr>
        <w:spacing w:line="560" w:lineRule="exact"/>
        <w:ind w:firstLine="422" w:firstLineChars="200"/>
        <w:rPr>
          <w:rFonts w:hint="eastAsia" w:ascii="宋体" w:hAnsi="宋体" w:eastAsia="宋体" w:cs="宋体"/>
          <w:b/>
          <w:bCs/>
          <w:color w:val="auto"/>
          <w:sz w:val="21"/>
          <w:szCs w:val="21"/>
          <w:highlight w:val="none"/>
          <w:lang w:val="en-US" w:eastAsia="zh-CN"/>
        </w:rPr>
      </w:pPr>
      <w:r>
        <w:rPr>
          <w:rFonts w:hint="eastAsia" w:ascii="宋体" w:hAnsi="宋体" w:eastAsia="宋体" w:cs="宋体"/>
          <w:b/>
          <w:bCs/>
          <w:color w:val="auto"/>
          <w:sz w:val="21"/>
          <w:szCs w:val="21"/>
          <w:highlight w:val="none"/>
          <w:lang w:val="en-US" w:eastAsia="zh-CN"/>
        </w:rPr>
        <w:t>一、项目概况</w:t>
      </w:r>
    </w:p>
    <w:p>
      <w:pPr>
        <w:spacing w:line="560" w:lineRule="exact"/>
        <w:ind w:firstLine="420" w:firstLineChars="200"/>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本项目采用公开招标方式选定一家招标代理机构，为南通市大数据发展集团有限公司提供招标代理服务。</w:t>
      </w:r>
    </w:p>
    <w:p>
      <w:pPr>
        <w:spacing w:line="560" w:lineRule="exact"/>
        <w:ind w:firstLine="422" w:firstLineChars="200"/>
        <w:rPr>
          <w:rFonts w:hint="eastAsia" w:ascii="宋体" w:hAnsi="宋体" w:eastAsia="宋体" w:cs="宋体"/>
          <w:b/>
          <w:bCs/>
          <w:color w:val="auto"/>
          <w:sz w:val="21"/>
          <w:szCs w:val="21"/>
          <w:highlight w:val="none"/>
          <w:lang w:val="en-US" w:eastAsia="zh-CN"/>
        </w:rPr>
      </w:pPr>
      <w:r>
        <w:rPr>
          <w:rFonts w:hint="eastAsia" w:ascii="宋体" w:hAnsi="宋体" w:eastAsia="宋体" w:cs="宋体"/>
          <w:b/>
          <w:bCs/>
          <w:color w:val="auto"/>
          <w:sz w:val="21"/>
          <w:szCs w:val="21"/>
          <w:highlight w:val="none"/>
          <w:lang w:val="en-US" w:eastAsia="zh-CN"/>
        </w:rPr>
        <w:t>二、服务内容：</w:t>
      </w:r>
    </w:p>
    <w:p>
      <w:pPr>
        <w:widowControl/>
        <w:spacing w:line="600" w:lineRule="exact"/>
        <w:ind w:left="1"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本项目招标代理服务的主要工作内容（包含但不限于）：</w:t>
      </w:r>
    </w:p>
    <w:p>
      <w:pPr>
        <w:widowControl/>
        <w:spacing w:line="600" w:lineRule="exact"/>
        <w:ind w:left="1"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向</w:t>
      </w:r>
      <w:r>
        <w:rPr>
          <w:rFonts w:hint="eastAsia" w:ascii="宋体" w:hAnsi="宋体" w:eastAsia="宋体" w:cs="宋体"/>
          <w:color w:val="auto"/>
          <w:sz w:val="21"/>
          <w:szCs w:val="21"/>
          <w:highlight w:val="none"/>
          <w:lang w:eastAsia="zh-CN"/>
        </w:rPr>
        <w:t>招标人</w:t>
      </w:r>
      <w:r>
        <w:rPr>
          <w:rFonts w:hint="eastAsia" w:ascii="宋体" w:hAnsi="宋体" w:eastAsia="宋体" w:cs="宋体"/>
          <w:color w:val="auto"/>
          <w:sz w:val="21"/>
          <w:szCs w:val="21"/>
          <w:highlight w:val="none"/>
        </w:rPr>
        <w:t>提供招标代理等服务；</w:t>
      </w:r>
    </w:p>
    <w:p>
      <w:pPr>
        <w:widowControl/>
        <w:spacing w:line="600" w:lineRule="exact"/>
        <w:ind w:left="1"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根据</w:t>
      </w:r>
      <w:r>
        <w:rPr>
          <w:rFonts w:hint="eastAsia" w:ascii="宋体" w:hAnsi="宋体" w:eastAsia="宋体" w:cs="宋体"/>
          <w:color w:val="auto"/>
          <w:sz w:val="21"/>
          <w:szCs w:val="21"/>
          <w:highlight w:val="none"/>
          <w:lang w:eastAsia="zh-CN"/>
        </w:rPr>
        <w:t>招标人</w:t>
      </w:r>
      <w:r>
        <w:rPr>
          <w:rFonts w:hint="eastAsia" w:ascii="宋体" w:hAnsi="宋体" w:eastAsia="宋体" w:cs="宋体"/>
          <w:color w:val="auto"/>
          <w:sz w:val="21"/>
          <w:szCs w:val="21"/>
          <w:highlight w:val="none"/>
        </w:rPr>
        <w:t>的需求，拟定招标方案；</w:t>
      </w:r>
    </w:p>
    <w:p>
      <w:pPr>
        <w:widowControl/>
        <w:spacing w:line="600" w:lineRule="exact"/>
        <w:ind w:left="1"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根据</w:t>
      </w:r>
      <w:r>
        <w:rPr>
          <w:rFonts w:hint="eastAsia" w:ascii="宋体" w:hAnsi="宋体" w:eastAsia="宋体" w:cs="宋体"/>
          <w:color w:val="auto"/>
          <w:sz w:val="21"/>
          <w:szCs w:val="21"/>
          <w:highlight w:val="none"/>
          <w:lang w:eastAsia="zh-CN"/>
        </w:rPr>
        <w:t>招标人</w:t>
      </w:r>
      <w:r>
        <w:rPr>
          <w:rFonts w:hint="eastAsia" w:ascii="宋体" w:hAnsi="宋体" w:eastAsia="宋体" w:cs="宋体"/>
          <w:color w:val="auto"/>
          <w:sz w:val="21"/>
          <w:szCs w:val="21"/>
          <w:highlight w:val="none"/>
        </w:rPr>
        <w:t>的需求组织专家论证；</w:t>
      </w:r>
    </w:p>
    <w:p>
      <w:pPr>
        <w:widowControl/>
        <w:spacing w:line="600" w:lineRule="exact"/>
        <w:ind w:left="1"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编制招标文件，合理采纳</w:t>
      </w:r>
      <w:r>
        <w:rPr>
          <w:rFonts w:hint="eastAsia" w:ascii="宋体" w:hAnsi="宋体" w:eastAsia="宋体" w:cs="宋体"/>
          <w:color w:val="auto"/>
          <w:sz w:val="21"/>
          <w:szCs w:val="21"/>
          <w:highlight w:val="none"/>
          <w:lang w:eastAsia="zh-CN"/>
        </w:rPr>
        <w:t>招标人</w:t>
      </w:r>
      <w:r>
        <w:rPr>
          <w:rFonts w:hint="eastAsia" w:ascii="宋体" w:hAnsi="宋体" w:eastAsia="宋体" w:cs="宋体"/>
          <w:color w:val="auto"/>
          <w:sz w:val="21"/>
          <w:szCs w:val="21"/>
          <w:highlight w:val="none"/>
        </w:rPr>
        <w:t>提出的修改意见，并对其合法性、准确性和严密性负责；</w:t>
      </w:r>
    </w:p>
    <w:p>
      <w:pPr>
        <w:widowControl/>
        <w:spacing w:line="600" w:lineRule="exact"/>
        <w:ind w:left="1"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5</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按</w:t>
      </w:r>
      <w:r>
        <w:rPr>
          <w:rFonts w:hint="eastAsia" w:ascii="宋体" w:hAnsi="宋体" w:eastAsia="宋体" w:cs="宋体"/>
          <w:color w:val="auto"/>
          <w:sz w:val="21"/>
          <w:szCs w:val="21"/>
          <w:highlight w:val="none"/>
          <w:lang w:eastAsia="zh-CN"/>
        </w:rPr>
        <w:t>招标人</w:t>
      </w:r>
      <w:r>
        <w:rPr>
          <w:rFonts w:hint="eastAsia" w:ascii="宋体" w:hAnsi="宋体" w:eastAsia="宋体" w:cs="宋体"/>
          <w:color w:val="auto"/>
          <w:sz w:val="21"/>
          <w:szCs w:val="21"/>
          <w:highlight w:val="none"/>
        </w:rPr>
        <w:t>的要求参加招标文件评审会；</w:t>
      </w:r>
    </w:p>
    <w:p>
      <w:pPr>
        <w:widowControl/>
        <w:spacing w:line="600" w:lineRule="exact"/>
        <w:ind w:left="1"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6</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经</w:t>
      </w:r>
      <w:r>
        <w:rPr>
          <w:rFonts w:hint="eastAsia" w:ascii="宋体" w:hAnsi="宋体" w:eastAsia="宋体" w:cs="宋体"/>
          <w:color w:val="auto"/>
          <w:sz w:val="21"/>
          <w:szCs w:val="21"/>
          <w:highlight w:val="none"/>
          <w:lang w:eastAsia="zh-CN"/>
        </w:rPr>
        <w:t>招标人</w:t>
      </w:r>
      <w:r>
        <w:rPr>
          <w:rFonts w:hint="eastAsia" w:ascii="宋体" w:hAnsi="宋体" w:eastAsia="宋体" w:cs="宋体"/>
          <w:color w:val="auto"/>
          <w:sz w:val="21"/>
          <w:szCs w:val="21"/>
          <w:highlight w:val="none"/>
        </w:rPr>
        <w:t>同意后，拟定招标公告及招标文件，负责在法律法规规定的媒体发布；</w:t>
      </w:r>
    </w:p>
    <w:p>
      <w:pPr>
        <w:widowControl/>
        <w:spacing w:line="600" w:lineRule="exact"/>
        <w:ind w:left="1"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7</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负责组织标前答疑会或进行书面答疑。负责整理答疑资料，形成澄清文件并作为招标文件的组成部分并通知所有潜在供应商；</w:t>
      </w:r>
    </w:p>
    <w:p>
      <w:pPr>
        <w:widowControl/>
        <w:spacing w:line="600" w:lineRule="exact"/>
        <w:ind w:left="1"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8</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经</w:t>
      </w:r>
      <w:r>
        <w:rPr>
          <w:rFonts w:hint="eastAsia" w:ascii="宋体" w:hAnsi="宋体" w:eastAsia="宋体" w:cs="宋体"/>
          <w:color w:val="auto"/>
          <w:sz w:val="21"/>
          <w:szCs w:val="21"/>
          <w:highlight w:val="none"/>
          <w:lang w:eastAsia="zh-CN"/>
        </w:rPr>
        <w:t>招标人</w:t>
      </w:r>
      <w:r>
        <w:rPr>
          <w:rFonts w:hint="eastAsia" w:ascii="宋体" w:hAnsi="宋体" w:eastAsia="宋体" w:cs="宋体"/>
          <w:color w:val="auto"/>
          <w:sz w:val="21"/>
          <w:szCs w:val="21"/>
          <w:highlight w:val="none"/>
        </w:rPr>
        <w:t>委托，负责组织报名登记工作，组织接收投标申请人报名；</w:t>
      </w:r>
    </w:p>
    <w:p>
      <w:pPr>
        <w:widowControl/>
        <w:spacing w:line="600" w:lineRule="exact"/>
        <w:ind w:left="1"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9</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协助</w:t>
      </w:r>
      <w:r>
        <w:rPr>
          <w:rFonts w:hint="eastAsia" w:ascii="宋体" w:hAnsi="宋体" w:eastAsia="宋体" w:cs="宋体"/>
          <w:color w:val="auto"/>
          <w:sz w:val="21"/>
          <w:szCs w:val="21"/>
          <w:highlight w:val="none"/>
          <w:lang w:eastAsia="zh-CN"/>
        </w:rPr>
        <w:t>招标人</w:t>
      </w:r>
      <w:r>
        <w:rPr>
          <w:rFonts w:hint="eastAsia" w:ascii="宋体" w:hAnsi="宋体" w:eastAsia="宋体" w:cs="宋体"/>
          <w:color w:val="auto"/>
          <w:sz w:val="21"/>
          <w:szCs w:val="21"/>
          <w:highlight w:val="none"/>
        </w:rPr>
        <w:t>依法组建评标委员会，抽取外部评标专家；</w:t>
      </w:r>
    </w:p>
    <w:p>
      <w:pPr>
        <w:widowControl/>
        <w:spacing w:line="600" w:lineRule="exact"/>
        <w:ind w:left="1"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10</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经</w:t>
      </w:r>
      <w:r>
        <w:rPr>
          <w:rFonts w:hint="eastAsia" w:ascii="宋体" w:hAnsi="宋体" w:eastAsia="宋体" w:cs="宋体"/>
          <w:color w:val="auto"/>
          <w:sz w:val="21"/>
          <w:szCs w:val="21"/>
          <w:highlight w:val="none"/>
          <w:lang w:eastAsia="zh-CN"/>
        </w:rPr>
        <w:t>招标人</w:t>
      </w:r>
      <w:r>
        <w:rPr>
          <w:rFonts w:hint="eastAsia" w:ascii="宋体" w:hAnsi="宋体" w:eastAsia="宋体" w:cs="宋体"/>
          <w:color w:val="auto"/>
          <w:sz w:val="21"/>
          <w:szCs w:val="21"/>
          <w:highlight w:val="none"/>
        </w:rPr>
        <w:t>委托，接收供应商的投标文件,组织并主持开标、评标活动；</w:t>
      </w:r>
    </w:p>
    <w:p>
      <w:pPr>
        <w:widowControl/>
        <w:spacing w:line="600" w:lineRule="exact"/>
        <w:ind w:left="1"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11</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经</w:t>
      </w:r>
      <w:r>
        <w:rPr>
          <w:rFonts w:hint="eastAsia" w:ascii="宋体" w:hAnsi="宋体" w:eastAsia="宋体" w:cs="宋体"/>
          <w:color w:val="auto"/>
          <w:sz w:val="21"/>
          <w:szCs w:val="21"/>
          <w:highlight w:val="none"/>
          <w:lang w:eastAsia="zh-CN"/>
        </w:rPr>
        <w:t>招标人</w:t>
      </w:r>
      <w:r>
        <w:rPr>
          <w:rFonts w:hint="eastAsia" w:ascii="宋体" w:hAnsi="宋体" w:eastAsia="宋体" w:cs="宋体"/>
          <w:color w:val="auto"/>
          <w:sz w:val="21"/>
          <w:szCs w:val="21"/>
          <w:highlight w:val="none"/>
        </w:rPr>
        <w:t>委托，编制中标（成交）公示材料，根据招标结果发放中标（成交）通知书；</w:t>
      </w:r>
    </w:p>
    <w:p>
      <w:pPr>
        <w:widowControl/>
        <w:spacing w:line="600" w:lineRule="exact"/>
        <w:ind w:left="1"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12</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编制和提交招标投标情况的书面报告；</w:t>
      </w:r>
    </w:p>
    <w:p>
      <w:pPr>
        <w:widowControl/>
        <w:spacing w:line="600" w:lineRule="exact"/>
        <w:ind w:left="1"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13</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及时与</w:t>
      </w:r>
      <w:r>
        <w:rPr>
          <w:rFonts w:hint="eastAsia" w:ascii="宋体" w:hAnsi="宋体" w:eastAsia="宋体" w:cs="宋体"/>
          <w:color w:val="auto"/>
          <w:sz w:val="21"/>
          <w:szCs w:val="21"/>
          <w:highlight w:val="none"/>
          <w:lang w:eastAsia="zh-CN"/>
        </w:rPr>
        <w:t>招标人</w:t>
      </w:r>
      <w:r>
        <w:rPr>
          <w:rFonts w:hint="eastAsia" w:ascii="宋体" w:hAnsi="宋体" w:eastAsia="宋体" w:cs="宋体"/>
          <w:color w:val="auto"/>
          <w:sz w:val="21"/>
          <w:szCs w:val="21"/>
          <w:highlight w:val="none"/>
        </w:rPr>
        <w:t>协调解决招标实施过程中出现的问题；</w:t>
      </w:r>
    </w:p>
    <w:p>
      <w:pPr>
        <w:widowControl/>
        <w:spacing w:line="600" w:lineRule="exact"/>
        <w:ind w:left="1"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14</w:t>
      </w:r>
      <w:r>
        <w:rPr>
          <w:rFonts w:hint="eastAsia" w:ascii="宋体" w:hAnsi="宋体" w:eastAsia="宋体" w:cs="宋体"/>
          <w:color w:val="auto"/>
          <w:sz w:val="21"/>
          <w:szCs w:val="21"/>
          <w:highlight w:val="none"/>
          <w:lang w:eastAsia="zh-CN"/>
        </w:rPr>
        <w:t>.招标人</w:t>
      </w:r>
      <w:r>
        <w:rPr>
          <w:rFonts w:hint="eastAsia" w:ascii="宋体" w:hAnsi="宋体" w:eastAsia="宋体" w:cs="宋体"/>
          <w:color w:val="auto"/>
          <w:sz w:val="21"/>
          <w:szCs w:val="21"/>
          <w:highlight w:val="none"/>
        </w:rPr>
        <w:t>交办的其他事项；</w:t>
      </w:r>
    </w:p>
    <w:p>
      <w:pPr>
        <w:keepNext w:val="0"/>
        <w:keepLines w:val="0"/>
        <w:pageBreakBefore w:val="0"/>
        <w:widowControl/>
        <w:wordWrap/>
        <w:overflowPunct/>
        <w:bidi w:val="0"/>
        <w:adjustRightInd/>
        <w:spacing w:line="360" w:lineRule="auto"/>
        <w:ind w:firstLine="420" w:firstLineChars="200"/>
        <w:textAlignment w:val="auto"/>
        <w:outlineLvl w:val="2"/>
        <w:rPr>
          <w:rFonts w:hint="eastAsia" w:ascii="宋体" w:hAnsi="宋体" w:eastAsia="宋体" w:cs="宋体"/>
          <w:color w:val="auto"/>
          <w:sz w:val="21"/>
          <w:szCs w:val="21"/>
          <w:highlight w:val="none"/>
          <w:lang w:eastAsia="zh-CN"/>
        </w:rPr>
      </w:pPr>
    </w:p>
    <w:p>
      <w:pPr>
        <w:spacing w:line="560" w:lineRule="exact"/>
        <w:ind w:firstLine="422" w:firstLineChars="200"/>
        <w:rPr>
          <w:rFonts w:hint="eastAsia" w:ascii="宋体" w:hAnsi="宋体" w:eastAsia="宋体" w:cs="宋体"/>
          <w:b/>
          <w:bCs/>
          <w:color w:val="auto"/>
          <w:sz w:val="21"/>
          <w:szCs w:val="21"/>
          <w:highlight w:val="none"/>
          <w:lang w:val="en-US" w:eastAsia="zh-CN"/>
        </w:rPr>
      </w:pPr>
      <w:r>
        <w:rPr>
          <w:rFonts w:hint="eastAsia" w:ascii="宋体" w:hAnsi="宋体" w:eastAsia="宋体" w:cs="宋体"/>
          <w:b/>
          <w:bCs/>
          <w:color w:val="auto"/>
          <w:sz w:val="21"/>
          <w:szCs w:val="21"/>
          <w:highlight w:val="none"/>
          <w:lang w:val="en-US" w:eastAsia="zh-CN"/>
        </w:rPr>
        <w:t>三、合同主要条款：</w:t>
      </w:r>
    </w:p>
    <w:p>
      <w:pPr>
        <w:widowControl/>
        <w:spacing w:line="600" w:lineRule="exact"/>
        <w:ind w:left="1" w:firstLine="420" w:firstLineChars="200"/>
        <w:jc w:val="left"/>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val="en-US" w:eastAsia="zh-CN"/>
        </w:rPr>
        <w:t>3</w:t>
      </w:r>
      <w:r>
        <w:rPr>
          <w:rFonts w:hint="eastAsia" w:ascii="宋体" w:hAnsi="宋体" w:eastAsia="宋体" w:cs="宋体"/>
          <w:color w:val="auto"/>
          <w:sz w:val="21"/>
          <w:szCs w:val="21"/>
          <w:highlight w:val="none"/>
          <w:lang w:eastAsia="zh-CN"/>
        </w:rPr>
        <w:t>.1</w:t>
      </w:r>
      <w:r>
        <w:rPr>
          <w:rFonts w:hint="eastAsia" w:ascii="宋体" w:hAnsi="宋体" w:eastAsia="宋体" w:cs="宋体"/>
          <w:color w:val="auto"/>
          <w:sz w:val="21"/>
          <w:szCs w:val="21"/>
          <w:highlight w:val="none"/>
          <w:lang w:val="en-US" w:eastAsia="zh-CN"/>
        </w:rPr>
        <w:t>合同</w:t>
      </w:r>
      <w:r>
        <w:rPr>
          <w:rFonts w:hint="eastAsia" w:ascii="宋体" w:hAnsi="宋体" w:eastAsia="宋体" w:cs="宋体"/>
          <w:color w:val="auto"/>
          <w:sz w:val="21"/>
          <w:szCs w:val="21"/>
          <w:highlight w:val="none"/>
          <w:lang w:eastAsia="zh-CN"/>
        </w:rPr>
        <w:t>期限：</w:t>
      </w:r>
      <w:r>
        <w:rPr>
          <w:rFonts w:hint="eastAsia" w:ascii="宋体" w:hAnsi="宋体" w:eastAsia="宋体" w:cs="宋体"/>
          <w:color w:val="auto"/>
          <w:sz w:val="21"/>
          <w:szCs w:val="21"/>
          <w:highlight w:val="none"/>
          <w:lang w:val="en-US" w:eastAsia="zh-CN"/>
        </w:rPr>
        <w:t>自合同签订之日起至2023年12月31日</w:t>
      </w:r>
      <w:r>
        <w:rPr>
          <w:rFonts w:hint="eastAsia" w:ascii="宋体" w:hAnsi="宋体" w:eastAsia="宋体" w:cs="宋体"/>
          <w:color w:val="auto"/>
          <w:sz w:val="21"/>
          <w:szCs w:val="21"/>
          <w:highlight w:val="none"/>
          <w:lang w:eastAsia="zh-CN"/>
        </w:rPr>
        <w:t>。</w:t>
      </w:r>
    </w:p>
    <w:p>
      <w:pPr>
        <w:widowControl/>
        <w:spacing w:line="600" w:lineRule="exact"/>
        <w:ind w:left="1" w:firstLine="420" w:firstLineChars="200"/>
        <w:jc w:val="left"/>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val="en-US" w:eastAsia="zh-CN"/>
        </w:rPr>
        <w:t>3</w:t>
      </w:r>
      <w:r>
        <w:rPr>
          <w:rFonts w:hint="eastAsia" w:ascii="宋体" w:hAnsi="宋体" w:eastAsia="宋体" w:cs="宋体"/>
          <w:color w:val="auto"/>
          <w:sz w:val="21"/>
          <w:szCs w:val="21"/>
          <w:highlight w:val="none"/>
          <w:lang w:eastAsia="zh-CN"/>
        </w:rPr>
        <w:t>.2根据投标文件</w:t>
      </w:r>
      <w:r>
        <w:rPr>
          <w:rFonts w:hint="eastAsia" w:ascii="宋体" w:hAnsi="宋体" w:eastAsia="宋体" w:cs="宋体"/>
          <w:color w:val="auto"/>
          <w:sz w:val="21"/>
          <w:szCs w:val="21"/>
          <w:highlight w:val="none"/>
        </w:rPr>
        <w:t>的约定派出具有服务资格的从业人员进行项目跟踪服务，服务时间需服从项目需要</w:t>
      </w:r>
      <w:r>
        <w:rPr>
          <w:rFonts w:hint="eastAsia" w:ascii="宋体" w:hAnsi="宋体" w:eastAsia="宋体" w:cs="宋体"/>
          <w:color w:val="auto"/>
          <w:sz w:val="21"/>
          <w:szCs w:val="21"/>
          <w:highlight w:val="none"/>
          <w:lang w:eastAsia="zh-CN"/>
        </w:rPr>
        <w:t>，中标单位</w:t>
      </w:r>
      <w:r>
        <w:rPr>
          <w:rFonts w:hint="eastAsia" w:ascii="宋体" w:hAnsi="宋体" w:eastAsia="宋体" w:cs="宋体"/>
          <w:color w:val="auto"/>
          <w:sz w:val="21"/>
          <w:szCs w:val="21"/>
          <w:highlight w:val="none"/>
        </w:rPr>
        <w:t>派出的服务人员须为项目组成员，具有良好的职业道德，工作程序和方法必须符合国家和地方的相关规定</w:t>
      </w:r>
      <w:r>
        <w:rPr>
          <w:rFonts w:hint="eastAsia" w:ascii="宋体" w:hAnsi="宋体" w:eastAsia="宋体" w:cs="宋体"/>
          <w:color w:val="auto"/>
          <w:sz w:val="21"/>
          <w:szCs w:val="21"/>
          <w:highlight w:val="none"/>
          <w:lang w:eastAsia="zh-CN"/>
        </w:rPr>
        <w:t>；</w:t>
      </w:r>
    </w:p>
    <w:p>
      <w:pPr>
        <w:widowControl/>
        <w:spacing w:line="600" w:lineRule="exact"/>
        <w:ind w:left="1" w:firstLine="420" w:firstLineChars="200"/>
        <w:jc w:val="left"/>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val="en-US" w:eastAsia="zh-CN"/>
        </w:rPr>
        <w:t>3.</w:t>
      </w:r>
      <w:r>
        <w:rPr>
          <w:rFonts w:hint="eastAsia" w:ascii="宋体" w:hAnsi="宋体" w:eastAsia="宋体" w:cs="宋体"/>
          <w:color w:val="auto"/>
          <w:sz w:val="21"/>
          <w:szCs w:val="21"/>
          <w:highlight w:val="none"/>
        </w:rPr>
        <w:t>3</w:t>
      </w:r>
      <w:r>
        <w:rPr>
          <w:rFonts w:hint="eastAsia" w:ascii="宋体" w:hAnsi="宋体" w:eastAsia="宋体" w:cs="宋体"/>
          <w:color w:val="auto"/>
          <w:sz w:val="21"/>
          <w:szCs w:val="21"/>
          <w:highlight w:val="none"/>
          <w:lang w:eastAsia="zh-CN"/>
        </w:rPr>
        <w:t>中标单位</w:t>
      </w:r>
      <w:r>
        <w:rPr>
          <w:rFonts w:hint="eastAsia" w:ascii="宋体" w:hAnsi="宋体" w:eastAsia="宋体" w:cs="宋体"/>
          <w:color w:val="auto"/>
          <w:sz w:val="21"/>
          <w:szCs w:val="21"/>
          <w:highlight w:val="none"/>
        </w:rPr>
        <w:t>应根据</w:t>
      </w:r>
      <w:r>
        <w:rPr>
          <w:rFonts w:hint="eastAsia" w:ascii="宋体" w:hAnsi="宋体" w:eastAsia="宋体" w:cs="宋体"/>
          <w:color w:val="auto"/>
          <w:sz w:val="21"/>
          <w:szCs w:val="21"/>
          <w:highlight w:val="none"/>
          <w:lang w:eastAsia="zh-CN"/>
        </w:rPr>
        <w:t>招标人</w:t>
      </w:r>
      <w:r>
        <w:rPr>
          <w:rFonts w:hint="eastAsia" w:ascii="宋体" w:hAnsi="宋体" w:eastAsia="宋体" w:cs="宋体"/>
          <w:color w:val="auto"/>
          <w:sz w:val="21"/>
          <w:szCs w:val="21"/>
          <w:highlight w:val="none"/>
        </w:rPr>
        <w:t>的要求对各项服务项目在分配任务后</w:t>
      </w:r>
      <w:r>
        <w:rPr>
          <w:rFonts w:hint="eastAsia" w:ascii="宋体" w:hAnsi="宋体" w:eastAsia="宋体" w:cs="宋体"/>
          <w:color w:val="auto"/>
          <w:sz w:val="21"/>
          <w:szCs w:val="21"/>
          <w:highlight w:val="none"/>
          <w:lang w:val="en-US" w:eastAsia="zh-CN"/>
        </w:rPr>
        <w:t>5</w:t>
      </w:r>
      <w:r>
        <w:rPr>
          <w:rFonts w:hint="eastAsia" w:ascii="宋体" w:hAnsi="宋体" w:eastAsia="宋体" w:cs="宋体"/>
          <w:color w:val="auto"/>
          <w:sz w:val="21"/>
          <w:szCs w:val="21"/>
          <w:highlight w:val="none"/>
        </w:rPr>
        <w:t>个工作日内及时、合理制定</w:t>
      </w:r>
      <w:r>
        <w:rPr>
          <w:rFonts w:hint="eastAsia" w:ascii="宋体" w:hAnsi="宋体" w:eastAsia="宋体" w:cs="宋体"/>
          <w:color w:val="auto"/>
          <w:sz w:val="21"/>
          <w:szCs w:val="21"/>
          <w:highlight w:val="none"/>
          <w:lang w:eastAsia="zh-CN"/>
        </w:rPr>
        <w:t>招标人</w:t>
      </w:r>
      <w:r>
        <w:rPr>
          <w:rFonts w:hint="eastAsia" w:ascii="宋体" w:hAnsi="宋体" w:eastAsia="宋体" w:cs="宋体"/>
          <w:color w:val="auto"/>
          <w:sz w:val="21"/>
          <w:szCs w:val="21"/>
          <w:highlight w:val="none"/>
        </w:rPr>
        <w:t>案，并在项目结束后</w:t>
      </w:r>
      <w:r>
        <w:rPr>
          <w:rFonts w:hint="eastAsia" w:ascii="宋体" w:hAnsi="宋体" w:eastAsia="宋体" w:cs="宋体"/>
          <w:color w:val="auto"/>
          <w:sz w:val="21"/>
          <w:szCs w:val="21"/>
          <w:highlight w:val="none"/>
          <w:lang w:val="en-US" w:eastAsia="zh-CN"/>
        </w:rPr>
        <w:t>两</w:t>
      </w:r>
      <w:r>
        <w:rPr>
          <w:rFonts w:hint="eastAsia" w:ascii="宋体" w:hAnsi="宋体" w:eastAsia="宋体" w:cs="宋体"/>
          <w:color w:val="auto"/>
          <w:sz w:val="21"/>
          <w:szCs w:val="21"/>
          <w:highlight w:val="none"/>
        </w:rPr>
        <w:t>周内及时报送资料汇编</w:t>
      </w:r>
      <w:r>
        <w:rPr>
          <w:rFonts w:hint="eastAsia" w:ascii="宋体" w:hAnsi="宋体" w:eastAsia="宋体" w:cs="宋体"/>
          <w:color w:val="auto"/>
          <w:sz w:val="21"/>
          <w:szCs w:val="21"/>
          <w:highlight w:val="none"/>
          <w:lang w:eastAsia="zh-CN"/>
        </w:rPr>
        <w:t>；</w:t>
      </w:r>
    </w:p>
    <w:p>
      <w:pPr>
        <w:widowControl/>
        <w:spacing w:line="600" w:lineRule="exact"/>
        <w:ind w:left="1" w:firstLine="420" w:firstLineChars="200"/>
        <w:jc w:val="left"/>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val="en-US" w:eastAsia="zh-CN"/>
        </w:rPr>
        <w:t>3.</w:t>
      </w:r>
      <w:r>
        <w:rPr>
          <w:rFonts w:hint="eastAsia" w:ascii="宋体" w:hAnsi="宋体" w:eastAsia="宋体" w:cs="宋体"/>
          <w:color w:val="auto"/>
          <w:sz w:val="21"/>
          <w:szCs w:val="21"/>
          <w:highlight w:val="none"/>
        </w:rPr>
        <w:t>4</w:t>
      </w:r>
      <w:r>
        <w:rPr>
          <w:rFonts w:hint="eastAsia" w:ascii="宋体" w:hAnsi="宋体" w:eastAsia="宋体" w:cs="宋体"/>
          <w:color w:val="auto"/>
          <w:sz w:val="21"/>
          <w:szCs w:val="21"/>
          <w:highlight w:val="none"/>
          <w:lang w:eastAsia="zh-CN"/>
        </w:rPr>
        <w:t>中标单位</w:t>
      </w:r>
      <w:r>
        <w:rPr>
          <w:rFonts w:hint="eastAsia" w:ascii="宋体" w:hAnsi="宋体" w:eastAsia="宋体" w:cs="宋体"/>
          <w:color w:val="auto"/>
          <w:sz w:val="21"/>
          <w:szCs w:val="21"/>
          <w:highlight w:val="none"/>
        </w:rPr>
        <w:t>在实施服务过程中如因不能及时提供资料导致招标工作不能顺利开展的，将接受</w:t>
      </w:r>
      <w:r>
        <w:rPr>
          <w:rFonts w:hint="eastAsia" w:ascii="宋体" w:hAnsi="宋体" w:eastAsia="宋体" w:cs="宋体"/>
          <w:color w:val="auto"/>
          <w:sz w:val="21"/>
          <w:szCs w:val="21"/>
          <w:highlight w:val="none"/>
          <w:lang w:eastAsia="zh-CN"/>
        </w:rPr>
        <w:t>招标人</w:t>
      </w:r>
      <w:r>
        <w:rPr>
          <w:rFonts w:hint="eastAsia" w:ascii="宋体" w:hAnsi="宋体" w:eastAsia="宋体" w:cs="宋体"/>
          <w:color w:val="auto"/>
          <w:sz w:val="21"/>
          <w:szCs w:val="21"/>
          <w:highlight w:val="none"/>
        </w:rPr>
        <w:t>1000元/次的处罚</w:t>
      </w:r>
      <w:r>
        <w:rPr>
          <w:rFonts w:hint="eastAsia" w:ascii="宋体" w:hAnsi="宋体" w:eastAsia="宋体" w:cs="宋体"/>
          <w:color w:val="auto"/>
          <w:sz w:val="21"/>
          <w:szCs w:val="21"/>
          <w:highlight w:val="none"/>
          <w:lang w:eastAsia="zh-CN"/>
        </w:rPr>
        <w:t>；</w:t>
      </w:r>
    </w:p>
    <w:p>
      <w:pPr>
        <w:widowControl/>
        <w:spacing w:line="600" w:lineRule="exact"/>
        <w:ind w:left="1" w:firstLine="420" w:firstLineChars="200"/>
        <w:jc w:val="left"/>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val="en-US" w:eastAsia="zh-CN"/>
        </w:rPr>
        <w:t>3.</w:t>
      </w:r>
      <w:r>
        <w:rPr>
          <w:rFonts w:hint="eastAsia" w:ascii="宋体" w:hAnsi="宋体" w:eastAsia="宋体" w:cs="宋体"/>
          <w:color w:val="auto"/>
          <w:sz w:val="21"/>
          <w:szCs w:val="21"/>
          <w:highlight w:val="none"/>
        </w:rPr>
        <w:t>5</w:t>
      </w:r>
      <w:r>
        <w:rPr>
          <w:rFonts w:hint="eastAsia" w:ascii="宋体" w:hAnsi="宋体" w:eastAsia="宋体" w:cs="宋体"/>
          <w:color w:val="auto"/>
          <w:sz w:val="21"/>
          <w:szCs w:val="21"/>
          <w:highlight w:val="none"/>
          <w:lang w:eastAsia="zh-CN"/>
        </w:rPr>
        <w:t>中标单位</w:t>
      </w:r>
      <w:r>
        <w:rPr>
          <w:rFonts w:hint="eastAsia" w:ascii="宋体" w:hAnsi="宋体" w:eastAsia="宋体" w:cs="宋体"/>
          <w:color w:val="auto"/>
          <w:sz w:val="21"/>
          <w:szCs w:val="21"/>
          <w:highlight w:val="none"/>
        </w:rPr>
        <w:t>应</w:t>
      </w:r>
      <w:r>
        <w:rPr>
          <w:rFonts w:hint="eastAsia" w:ascii="宋体" w:hAnsi="宋体" w:eastAsia="宋体" w:cs="宋体"/>
          <w:color w:val="auto"/>
          <w:sz w:val="21"/>
          <w:szCs w:val="21"/>
          <w:highlight w:val="none"/>
          <w:lang w:val="en-US" w:eastAsia="zh-CN"/>
        </w:rPr>
        <w:t>协助</w:t>
      </w:r>
      <w:r>
        <w:rPr>
          <w:rFonts w:hint="eastAsia" w:ascii="宋体" w:hAnsi="宋体" w:eastAsia="宋体" w:cs="宋体"/>
          <w:color w:val="auto"/>
          <w:sz w:val="21"/>
          <w:szCs w:val="21"/>
          <w:highlight w:val="none"/>
          <w:lang w:eastAsia="zh-CN"/>
        </w:rPr>
        <w:t>招标人</w:t>
      </w:r>
      <w:r>
        <w:rPr>
          <w:rFonts w:hint="eastAsia" w:ascii="宋体" w:hAnsi="宋体" w:eastAsia="宋体" w:cs="宋体"/>
          <w:color w:val="auto"/>
          <w:sz w:val="21"/>
          <w:szCs w:val="21"/>
          <w:highlight w:val="none"/>
        </w:rPr>
        <w:t>办理相关单位的中标</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lang w:val="en-US" w:eastAsia="zh-CN"/>
        </w:rPr>
        <w:t>成交</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通知书，如延误办理时间将接受</w:t>
      </w:r>
      <w:r>
        <w:rPr>
          <w:rFonts w:hint="eastAsia" w:ascii="宋体" w:hAnsi="宋体" w:eastAsia="宋体" w:cs="宋体"/>
          <w:color w:val="auto"/>
          <w:sz w:val="21"/>
          <w:szCs w:val="21"/>
          <w:highlight w:val="none"/>
          <w:lang w:eastAsia="zh-CN"/>
        </w:rPr>
        <w:t>招标人</w:t>
      </w:r>
      <w:r>
        <w:rPr>
          <w:rFonts w:hint="eastAsia" w:ascii="宋体" w:hAnsi="宋体" w:eastAsia="宋体" w:cs="宋体"/>
          <w:color w:val="auto"/>
          <w:sz w:val="21"/>
          <w:szCs w:val="21"/>
          <w:highlight w:val="none"/>
        </w:rPr>
        <w:t>200元/天处罚</w:t>
      </w:r>
      <w:r>
        <w:rPr>
          <w:rFonts w:hint="eastAsia" w:ascii="宋体" w:hAnsi="宋体" w:eastAsia="宋体" w:cs="宋体"/>
          <w:color w:val="auto"/>
          <w:sz w:val="21"/>
          <w:szCs w:val="21"/>
          <w:highlight w:val="none"/>
          <w:lang w:eastAsia="zh-CN"/>
        </w:rPr>
        <w:t>；</w:t>
      </w:r>
    </w:p>
    <w:p>
      <w:pPr>
        <w:widowControl/>
        <w:spacing w:line="600" w:lineRule="exact"/>
        <w:ind w:left="1" w:firstLine="420" w:firstLineChars="200"/>
        <w:jc w:val="left"/>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val="en-US" w:eastAsia="zh-CN"/>
        </w:rPr>
        <w:t>3.</w:t>
      </w:r>
      <w:r>
        <w:rPr>
          <w:rFonts w:hint="eastAsia" w:ascii="宋体" w:hAnsi="宋体" w:eastAsia="宋体" w:cs="宋体"/>
          <w:color w:val="auto"/>
          <w:sz w:val="21"/>
          <w:szCs w:val="21"/>
          <w:highlight w:val="none"/>
        </w:rPr>
        <w:t>6</w:t>
      </w:r>
      <w:r>
        <w:rPr>
          <w:rFonts w:hint="eastAsia" w:ascii="宋体" w:hAnsi="宋体" w:eastAsia="宋体" w:cs="宋体"/>
          <w:color w:val="auto"/>
          <w:sz w:val="21"/>
          <w:szCs w:val="21"/>
          <w:highlight w:val="none"/>
          <w:lang w:eastAsia="zh-CN"/>
        </w:rPr>
        <w:t>中标单位</w:t>
      </w:r>
      <w:r>
        <w:rPr>
          <w:rFonts w:hint="eastAsia" w:ascii="宋体" w:hAnsi="宋体" w:eastAsia="宋体" w:cs="宋体"/>
          <w:color w:val="auto"/>
          <w:sz w:val="21"/>
          <w:szCs w:val="21"/>
          <w:highlight w:val="none"/>
        </w:rPr>
        <w:t>应确保项目招标依法合规进行，如出现项目招投标投诉，应积极处理，如</w:t>
      </w:r>
      <w:r>
        <w:rPr>
          <w:rFonts w:hint="eastAsia" w:ascii="宋体" w:hAnsi="宋体" w:eastAsia="宋体" w:cs="宋体"/>
          <w:color w:val="auto"/>
          <w:sz w:val="21"/>
          <w:szCs w:val="21"/>
          <w:highlight w:val="none"/>
          <w:lang w:eastAsia="zh-CN"/>
        </w:rPr>
        <w:t>中标单位</w:t>
      </w:r>
      <w:r>
        <w:rPr>
          <w:rFonts w:hint="eastAsia" w:ascii="宋体" w:hAnsi="宋体" w:eastAsia="宋体" w:cs="宋体"/>
          <w:color w:val="auto"/>
          <w:sz w:val="21"/>
          <w:szCs w:val="21"/>
          <w:highlight w:val="none"/>
        </w:rPr>
        <w:t>故意推诿，造成招标结果久拖不决，造成很坏影响或影响采购项目进展的，</w:t>
      </w:r>
      <w:r>
        <w:rPr>
          <w:rFonts w:hint="eastAsia" w:ascii="宋体" w:hAnsi="宋体" w:eastAsia="宋体" w:cs="宋体"/>
          <w:color w:val="auto"/>
          <w:sz w:val="21"/>
          <w:szCs w:val="21"/>
          <w:highlight w:val="none"/>
          <w:lang w:eastAsia="zh-CN"/>
        </w:rPr>
        <w:t>招标人</w:t>
      </w:r>
      <w:r>
        <w:rPr>
          <w:rFonts w:hint="eastAsia" w:ascii="宋体" w:hAnsi="宋体" w:eastAsia="宋体" w:cs="宋体"/>
          <w:color w:val="auto"/>
          <w:sz w:val="21"/>
          <w:szCs w:val="21"/>
          <w:highlight w:val="none"/>
        </w:rPr>
        <w:t>有权扣除该项目服务费，同时不免除其继续履约的义务，造成严重后果的，</w:t>
      </w:r>
      <w:r>
        <w:rPr>
          <w:rFonts w:hint="eastAsia" w:ascii="宋体" w:hAnsi="宋体" w:eastAsia="宋体" w:cs="宋体"/>
          <w:color w:val="auto"/>
          <w:sz w:val="21"/>
          <w:szCs w:val="21"/>
          <w:highlight w:val="none"/>
          <w:lang w:eastAsia="zh-CN"/>
        </w:rPr>
        <w:t>招标人</w:t>
      </w:r>
      <w:r>
        <w:rPr>
          <w:rFonts w:hint="eastAsia" w:ascii="宋体" w:hAnsi="宋体" w:eastAsia="宋体" w:cs="宋体"/>
          <w:color w:val="auto"/>
          <w:sz w:val="21"/>
          <w:szCs w:val="21"/>
          <w:highlight w:val="none"/>
        </w:rPr>
        <w:t>有权依法追究其经济及法律责任</w:t>
      </w:r>
      <w:r>
        <w:rPr>
          <w:rFonts w:hint="eastAsia" w:ascii="宋体" w:hAnsi="宋体" w:eastAsia="宋体" w:cs="宋体"/>
          <w:color w:val="auto"/>
          <w:sz w:val="21"/>
          <w:szCs w:val="21"/>
          <w:highlight w:val="none"/>
          <w:lang w:eastAsia="zh-CN"/>
        </w:rPr>
        <w:t>；</w:t>
      </w:r>
    </w:p>
    <w:p>
      <w:pPr>
        <w:widowControl/>
        <w:spacing w:line="600" w:lineRule="exact"/>
        <w:ind w:left="1" w:firstLine="420" w:firstLineChars="200"/>
        <w:jc w:val="left"/>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val="en-US" w:eastAsia="zh-CN"/>
        </w:rPr>
        <w:t>3.</w:t>
      </w:r>
      <w:r>
        <w:rPr>
          <w:rFonts w:hint="eastAsia" w:ascii="宋体" w:hAnsi="宋体" w:eastAsia="宋体" w:cs="宋体"/>
          <w:color w:val="auto"/>
          <w:sz w:val="21"/>
          <w:szCs w:val="21"/>
          <w:highlight w:val="none"/>
        </w:rPr>
        <w:t>7</w:t>
      </w:r>
      <w:r>
        <w:rPr>
          <w:rFonts w:hint="eastAsia" w:ascii="宋体" w:hAnsi="宋体" w:eastAsia="宋体" w:cs="宋体"/>
          <w:color w:val="auto"/>
          <w:sz w:val="21"/>
          <w:szCs w:val="21"/>
          <w:highlight w:val="none"/>
          <w:lang w:eastAsia="zh-CN"/>
        </w:rPr>
        <w:t>中标单位</w:t>
      </w:r>
      <w:r>
        <w:rPr>
          <w:rFonts w:hint="eastAsia" w:ascii="宋体" w:hAnsi="宋体" w:eastAsia="宋体" w:cs="宋体"/>
          <w:color w:val="auto"/>
          <w:sz w:val="21"/>
          <w:szCs w:val="21"/>
          <w:highlight w:val="none"/>
        </w:rPr>
        <w:t>在其服务项目上故意徇私舞弊</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排斥其他潜在供应商；故意降低或抬高入围门槛；为供应商提供或变相提供服务的；擅自透露不应该公开的信息或评标过程细节；为供应商提供或变相提供投诉材料；为供应商谋求不正当利益等，经查证属实，除该项目的服务费不予支付外，列入黑名单，并向主管部门反映违规情况，情节严重的移送司法机关处理</w:t>
      </w:r>
      <w:r>
        <w:rPr>
          <w:rFonts w:hint="eastAsia" w:ascii="宋体" w:hAnsi="宋体" w:eastAsia="宋体" w:cs="宋体"/>
          <w:color w:val="auto"/>
          <w:sz w:val="21"/>
          <w:szCs w:val="21"/>
          <w:highlight w:val="none"/>
          <w:lang w:eastAsia="zh-CN"/>
        </w:rPr>
        <w:t>；</w:t>
      </w:r>
    </w:p>
    <w:p>
      <w:pPr>
        <w:widowControl/>
        <w:spacing w:line="600" w:lineRule="exact"/>
        <w:ind w:left="1" w:firstLine="420" w:firstLineChars="200"/>
        <w:jc w:val="left"/>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val="en-US" w:eastAsia="zh-CN"/>
        </w:rPr>
        <w:t>3.</w:t>
      </w:r>
      <w:r>
        <w:rPr>
          <w:rFonts w:hint="eastAsia" w:ascii="宋体" w:hAnsi="宋体" w:eastAsia="宋体" w:cs="宋体"/>
          <w:color w:val="auto"/>
          <w:sz w:val="21"/>
          <w:szCs w:val="21"/>
          <w:highlight w:val="none"/>
        </w:rPr>
        <w:t>8</w:t>
      </w:r>
      <w:r>
        <w:rPr>
          <w:rFonts w:hint="eastAsia" w:ascii="宋体" w:hAnsi="宋体" w:eastAsia="宋体" w:cs="宋体"/>
          <w:color w:val="auto"/>
          <w:sz w:val="21"/>
          <w:szCs w:val="21"/>
          <w:highlight w:val="none"/>
          <w:lang w:eastAsia="zh-CN"/>
        </w:rPr>
        <w:t>中标单位</w:t>
      </w:r>
      <w:r>
        <w:rPr>
          <w:rFonts w:hint="eastAsia" w:ascii="宋体" w:hAnsi="宋体" w:eastAsia="宋体" w:cs="宋体"/>
          <w:color w:val="auto"/>
          <w:sz w:val="21"/>
          <w:szCs w:val="21"/>
          <w:highlight w:val="none"/>
        </w:rPr>
        <w:t>安排的服务人员要遵守职业操守：①评标现场不得发表任何影响评标结果的言论；②评标现场不得发生任何影响评标结果的行为；上述两种情况每发生一次</w:t>
      </w:r>
      <w:r>
        <w:rPr>
          <w:rFonts w:hint="eastAsia" w:ascii="宋体" w:hAnsi="宋体" w:eastAsia="宋体" w:cs="宋体"/>
          <w:color w:val="auto"/>
          <w:sz w:val="21"/>
          <w:szCs w:val="21"/>
          <w:highlight w:val="none"/>
          <w:lang w:eastAsia="zh-CN"/>
        </w:rPr>
        <w:t>招标人</w:t>
      </w:r>
      <w:r>
        <w:rPr>
          <w:rFonts w:hint="eastAsia" w:ascii="宋体" w:hAnsi="宋体" w:eastAsia="宋体" w:cs="宋体"/>
          <w:color w:val="auto"/>
          <w:sz w:val="21"/>
          <w:szCs w:val="21"/>
          <w:highlight w:val="none"/>
        </w:rPr>
        <w:t>有权单方取消合同并拒付服务费用</w:t>
      </w:r>
      <w:r>
        <w:rPr>
          <w:rFonts w:hint="eastAsia" w:ascii="宋体" w:hAnsi="宋体" w:eastAsia="宋体" w:cs="宋体"/>
          <w:color w:val="auto"/>
          <w:sz w:val="21"/>
          <w:szCs w:val="21"/>
          <w:highlight w:val="none"/>
          <w:lang w:eastAsia="zh-CN"/>
        </w:rPr>
        <w:t>；</w:t>
      </w:r>
    </w:p>
    <w:p>
      <w:pPr>
        <w:widowControl/>
        <w:spacing w:line="600" w:lineRule="exact"/>
        <w:ind w:left="1" w:firstLine="420" w:firstLineChars="200"/>
        <w:jc w:val="left"/>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val="en-US" w:eastAsia="zh-CN"/>
        </w:rPr>
        <w:t>3.9</w:t>
      </w:r>
      <w:r>
        <w:rPr>
          <w:rFonts w:hint="eastAsia" w:ascii="宋体" w:hAnsi="宋体" w:eastAsia="宋体" w:cs="宋体"/>
          <w:color w:val="auto"/>
          <w:sz w:val="21"/>
          <w:szCs w:val="21"/>
          <w:highlight w:val="none"/>
          <w:lang w:eastAsia="zh-CN"/>
        </w:rPr>
        <w:t>中标单位</w:t>
      </w:r>
      <w:r>
        <w:rPr>
          <w:rFonts w:hint="eastAsia" w:ascii="宋体" w:hAnsi="宋体" w:eastAsia="宋体" w:cs="宋体"/>
          <w:color w:val="auto"/>
          <w:sz w:val="21"/>
          <w:szCs w:val="21"/>
          <w:highlight w:val="none"/>
        </w:rPr>
        <w:t>无视招标工作的公平、公正原则，有与供应商串通或其他第三人串通损坏</w:t>
      </w:r>
      <w:r>
        <w:rPr>
          <w:rFonts w:hint="eastAsia" w:ascii="宋体" w:hAnsi="宋体" w:eastAsia="宋体" w:cs="宋体"/>
          <w:color w:val="auto"/>
          <w:sz w:val="21"/>
          <w:szCs w:val="21"/>
          <w:highlight w:val="none"/>
          <w:lang w:eastAsia="zh-CN"/>
        </w:rPr>
        <w:t>招标人</w:t>
      </w:r>
      <w:r>
        <w:rPr>
          <w:rFonts w:hint="eastAsia" w:ascii="宋体" w:hAnsi="宋体" w:eastAsia="宋体" w:cs="宋体"/>
          <w:color w:val="auto"/>
          <w:sz w:val="21"/>
          <w:szCs w:val="21"/>
          <w:highlight w:val="none"/>
        </w:rPr>
        <w:t>利益的等违法违规行为的</w:t>
      </w:r>
      <w:r>
        <w:rPr>
          <w:rFonts w:hint="eastAsia" w:ascii="宋体" w:hAnsi="宋体" w:eastAsia="宋体" w:cs="宋体"/>
          <w:color w:val="auto"/>
          <w:sz w:val="21"/>
          <w:szCs w:val="21"/>
          <w:highlight w:val="none"/>
          <w:lang w:eastAsia="zh-CN"/>
        </w:rPr>
        <w:t>，招标人</w:t>
      </w:r>
      <w:r>
        <w:rPr>
          <w:rFonts w:hint="eastAsia" w:ascii="宋体" w:hAnsi="宋体" w:eastAsia="宋体" w:cs="宋体"/>
          <w:color w:val="auto"/>
          <w:sz w:val="21"/>
          <w:szCs w:val="21"/>
          <w:highlight w:val="none"/>
        </w:rPr>
        <w:t>有权单方解除合同，并追究</w:t>
      </w:r>
      <w:r>
        <w:rPr>
          <w:rFonts w:hint="eastAsia" w:ascii="宋体" w:hAnsi="宋体" w:eastAsia="宋体" w:cs="宋体"/>
          <w:color w:val="auto"/>
          <w:sz w:val="21"/>
          <w:szCs w:val="21"/>
          <w:highlight w:val="none"/>
          <w:lang w:eastAsia="zh-CN"/>
        </w:rPr>
        <w:t>中标单位</w:t>
      </w:r>
      <w:r>
        <w:rPr>
          <w:rFonts w:hint="eastAsia" w:ascii="宋体" w:hAnsi="宋体" w:eastAsia="宋体" w:cs="宋体"/>
          <w:color w:val="auto"/>
          <w:sz w:val="21"/>
          <w:szCs w:val="21"/>
          <w:highlight w:val="none"/>
        </w:rPr>
        <w:t>相关责任</w:t>
      </w:r>
      <w:r>
        <w:rPr>
          <w:rFonts w:hint="eastAsia" w:ascii="宋体" w:hAnsi="宋体" w:eastAsia="宋体" w:cs="宋体"/>
          <w:color w:val="auto"/>
          <w:sz w:val="21"/>
          <w:szCs w:val="21"/>
          <w:highlight w:val="none"/>
          <w:lang w:eastAsia="zh-CN"/>
        </w:rPr>
        <w:t>；</w:t>
      </w:r>
    </w:p>
    <w:p>
      <w:pPr>
        <w:widowControl/>
        <w:spacing w:line="600" w:lineRule="exact"/>
        <w:ind w:left="1" w:firstLine="420" w:firstLineChars="200"/>
        <w:jc w:val="left"/>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val="en-US" w:eastAsia="zh-CN"/>
        </w:rPr>
        <w:t>3.10</w:t>
      </w:r>
      <w:r>
        <w:rPr>
          <w:rFonts w:hint="eastAsia" w:ascii="宋体" w:hAnsi="宋体" w:eastAsia="宋体" w:cs="宋体"/>
          <w:color w:val="auto"/>
          <w:sz w:val="21"/>
          <w:szCs w:val="21"/>
          <w:highlight w:val="none"/>
          <w:lang w:eastAsia="zh-CN"/>
        </w:rPr>
        <w:t>中标单位</w:t>
      </w:r>
      <w:r>
        <w:rPr>
          <w:rFonts w:hint="eastAsia" w:ascii="宋体" w:hAnsi="宋体" w:eastAsia="宋体" w:cs="宋体"/>
          <w:color w:val="auto"/>
          <w:sz w:val="21"/>
          <w:szCs w:val="21"/>
          <w:highlight w:val="none"/>
        </w:rPr>
        <w:t>无视招标工作的公平、公正原则，有与供应商串通或其他第三人串通损坏</w:t>
      </w:r>
      <w:r>
        <w:rPr>
          <w:rFonts w:hint="eastAsia" w:ascii="宋体" w:hAnsi="宋体" w:eastAsia="宋体" w:cs="宋体"/>
          <w:color w:val="auto"/>
          <w:sz w:val="21"/>
          <w:szCs w:val="21"/>
          <w:highlight w:val="none"/>
          <w:lang w:eastAsia="zh-CN"/>
        </w:rPr>
        <w:t>招标人</w:t>
      </w:r>
      <w:r>
        <w:rPr>
          <w:rFonts w:hint="eastAsia" w:ascii="宋体" w:hAnsi="宋体" w:eastAsia="宋体" w:cs="宋体"/>
          <w:color w:val="auto"/>
          <w:sz w:val="21"/>
          <w:szCs w:val="21"/>
          <w:highlight w:val="none"/>
        </w:rPr>
        <w:t>利益的等违法违规行为的</w:t>
      </w:r>
      <w:r>
        <w:rPr>
          <w:rFonts w:hint="eastAsia" w:ascii="宋体" w:hAnsi="宋体" w:eastAsia="宋体" w:cs="宋体"/>
          <w:color w:val="auto"/>
          <w:sz w:val="21"/>
          <w:szCs w:val="21"/>
          <w:highlight w:val="none"/>
          <w:lang w:eastAsia="zh-CN"/>
        </w:rPr>
        <w:t>；</w:t>
      </w:r>
    </w:p>
    <w:p>
      <w:pPr>
        <w:widowControl/>
        <w:spacing w:line="600" w:lineRule="exact"/>
        <w:ind w:left="1" w:firstLine="422" w:firstLineChars="200"/>
        <w:jc w:val="left"/>
        <w:rPr>
          <w:rFonts w:hint="eastAsia" w:ascii="宋体" w:hAnsi="宋体" w:eastAsia="宋体" w:cs="宋体"/>
          <w:color w:val="auto"/>
          <w:sz w:val="21"/>
          <w:szCs w:val="21"/>
          <w:highlight w:val="none"/>
          <w:lang w:val="en-US" w:eastAsia="zh-CN"/>
        </w:rPr>
      </w:pPr>
      <w:r>
        <w:rPr>
          <w:rFonts w:hint="eastAsia" w:ascii="宋体" w:hAnsi="宋体" w:eastAsia="宋体" w:cs="宋体"/>
          <w:b/>
          <w:bCs/>
          <w:color w:val="auto"/>
          <w:sz w:val="21"/>
          <w:szCs w:val="21"/>
          <w:highlight w:val="none"/>
          <w:lang w:val="en-US" w:eastAsia="zh-CN"/>
        </w:rPr>
        <w:t>3.11 中标单位项目负责人不得更换，招标人单位所有采购项目均须由中标单位项目负责人直接对接，否则招标人有权单方面终止合同。</w:t>
      </w:r>
    </w:p>
    <w:p>
      <w:pPr>
        <w:spacing w:line="560" w:lineRule="exact"/>
        <w:ind w:firstLine="422" w:firstLineChars="200"/>
        <w:rPr>
          <w:rFonts w:hint="eastAsia" w:ascii="宋体" w:hAnsi="宋体" w:eastAsia="宋体" w:cs="宋体"/>
          <w:b/>
          <w:bCs/>
          <w:color w:val="auto"/>
          <w:sz w:val="21"/>
          <w:szCs w:val="21"/>
          <w:highlight w:val="none"/>
          <w:lang w:val="en-US" w:eastAsia="zh-CN"/>
        </w:rPr>
      </w:pPr>
      <w:r>
        <w:rPr>
          <w:rFonts w:hint="eastAsia" w:ascii="宋体" w:hAnsi="宋体" w:eastAsia="宋体" w:cs="宋体"/>
          <w:b/>
          <w:bCs/>
          <w:color w:val="auto"/>
          <w:sz w:val="21"/>
          <w:szCs w:val="21"/>
          <w:highlight w:val="none"/>
          <w:lang w:val="en-US" w:eastAsia="zh-CN"/>
        </w:rPr>
        <w:t xml:space="preserve"> 四、付款方式:</w:t>
      </w:r>
    </w:p>
    <w:p>
      <w:pPr>
        <w:widowControl/>
        <w:spacing w:line="600" w:lineRule="exact"/>
        <w:ind w:left="1"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单个项目完成招标代理后进行结算</w:t>
      </w:r>
    </w:p>
    <w:p>
      <w:pPr>
        <w:widowControl/>
        <w:spacing w:line="600" w:lineRule="exact"/>
        <w:ind w:left="1"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每次发起支付流程之前，</w:t>
      </w:r>
      <w:r>
        <w:rPr>
          <w:rFonts w:hint="eastAsia" w:ascii="宋体" w:hAnsi="宋体" w:eastAsia="宋体" w:cs="宋体"/>
          <w:color w:val="auto"/>
          <w:sz w:val="21"/>
          <w:szCs w:val="21"/>
          <w:highlight w:val="none"/>
          <w:lang w:val="en-US" w:eastAsia="zh-CN"/>
        </w:rPr>
        <w:t>中标单位</w:t>
      </w:r>
      <w:r>
        <w:rPr>
          <w:rFonts w:hint="eastAsia" w:ascii="宋体" w:hAnsi="宋体" w:eastAsia="宋体" w:cs="宋体"/>
          <w:color w:val="auto"/>
          <w:sz w:val="21"/>
          <w:szCs w:val="21"/>
          <w:highlight w:val="none"/>
        </w:rPr>
        <w:t>须向</w:t>
      </w:r>
      <w:r>
        <w:rPr>
          <w:rFonts w:hint="eastAsia" w:ascii="宋体" w:hAnsi="宋体" w:eastAsia="宋体" w:cs="宋体"/>
          <w:color w:val="auto"/>
          <w:sz w:val="21"/>
          <w:szCs w:val="21"/>
          <w:highlight w:val="none"/>
          <w:lang w:val="en-US" w:eastAsia="zh-CN"/>
        </w:rPr>
        <w:t>招标人</w:t>
      </w:r>
      <w:r>
        <w:rPr>
          <w:rFonts w:hint="eastAsia" w:ascii="宋体" w:hAnsi="宋体" w:eastAsia="宋体" w:cs="宋体"/>
          <w:color w:val="auto"/>
          <w:sz w:val="21"/>
          <w:szCs w:val="21"/>
          <w:highlight w:val="none"/>
        </w:rPr>
        <w:t>提供对应金额符合</w:t>
      </w:r>
      <w:r>
        <w:rPr>
          <w:rFonts w:hint="eastAsia" w:ascii="宋体" w:hAnsi="宋体" w:eastAsia="宋体" w:cs="宋体"/>
          <w:color w:val="auto"/>
          <w:sz w:val="21"/>
          <w:szCs w:val="21"/>
          <w:highlight w:val="none"/>
          <w:lang w:val="en-US" w:eastAsia="zh-CN"/>
        </w:rPr>
        <w:t>招标人</w:t>
      </w:r>
      <w:r>
        <w:rPr>
          <w:rFonts w:hint="eastAsia" w:ascii="宋体" w:hAnsi="宋体" w:eastAsia="宋体" w:cs="宋体"/>
          <w:color w:val="auto"/>
          <w:sz w:val="21"/>
          <w:szCs w:val="21"/>
          <w:highlight w:val="none"/>
        </w:rPr>
        <w:t>要求的增值税专用发票并注明发票税率（服务6%，具体税率以</w:t>
      </w:r>
      <w:r>
        <w:rPr>
          <w:rFonts w:hint="eastAsia" w:ascii="宋体" w:hAnsi="宋体" w:eastAsia="宋体" w:cs="宋体"/>
          <w:color w:val="auto"/>
          <w:sz w:val="21"/>
          <w:szCs w:val="21"/>
          <w:highlight w:val="none"/>
          <w:lang w:val="en-US" w:eastAsia="zh-CN"/>
        </w:rPr>
        <w:t>招标人</w:t>
      </w:r>
      <w:r>
        <w:rPr>
          <w:rFonts w:hint="eastAsia" w:ascii="宋体" w:hAnsi="宋体" w:eastAsia="宋体" w:cs="宋体"/>
          <w:color w:val="auto"/>
          <w:sz w:val="21"/>
          <w:szCs w:val="21"/>
          <w:highlight w:val="none"/>
        </w:rPr>
        <w:t>要求及国家的相关规定为准）。</w:t>
      </w:r>
      <w:r>
        <w:rPr>
          <w:rFonts w:hint="eastAsia" w:ascii="宋体" w:hAnsi="宋体" w:eastAsia="宋体" w:cs="宋体"/>
          <w:color w:val="auto"/>
          <w:sz w:val="21"/>
          <w:szCs w:val="21"/>
          <w:highlight w:val="none"/>
          <w:lang w:val="en-US" w:eastAsia="zh-CN"/>
        </w:rPr>
        <w:t>招标人</w:t>
      </w:r>
      <w:r>
        <w:rPr>
          <w:rFonts w:hint="eastAsia" w:ascii="宋体" w:hAnsi="宋体" w:eastAsia="宋体" w:cs="宋体"/>
          <w:color w:val="auto"/>
          <w:sz w:val="21"/>
          <w:szCs w:val="21"/>
          <w:highlight w:val="none"/>
        </w:rPr>
        <w:t>收到相应发票后5个工作日内发起支付流程，最终由财政支付。</w:t>
      </w:r>
    </w:p>
    <w:p>
      <w:pPr>
        <w:widowControl/>
        <w:numPr>
          <w:ilvl w:val="0"/>
          <w:numId w:val="0"/>
        </w:numPr>
        <w:spacing w:line="600" w:lineRule="exact"/>
        <w:ind w:firstLine="422" w:firstLineChars="200"/>
        <w:jc w:val="left"/>
        <w:rPr>
          <w:rFonts w:hint="eastAsia" w:ascii="宋体" w:hAnsi="宋体" w:eastAsia="宋体" w:cs="宋体"/>
          <w:b/>
          <w:bCs/>
          <w:color w:val="auto"/>
          <w:sz w:val="21"/>
          <w:szCs w:val="21"/>
          <w:highlight w:val="none"/>
          <w:lang w:eastAsia="zh-CN"/>
        </w:rPr>
      </w:pPr>
      <w:r>
        <w:rPr>
          <w:rFonts w:hint="eastAsia" w:ascii="宋体" w:hAnsi="宋体" w:eastAsia="宋体" w:cs="宋体"/>
          <w:b/>
          <w:bCs/>
          <w:color w:val="auto"/>
          <w:sz w:val="21"/>
          <w:szCs w:val="21"/>
          <w:highlight w:val="none"/>
          <w:lang w:val="en-US" w:eastAsia="zh-CN"/>
        </w:rPr>
        <w:t>五、</w:t>
      </w:r>
      <w:r>
        <w:rPr>
          <w:rFonts w:hint="eastAsia" w:ascii="宋体" w:hAnsi="宋体" w:eastAsia="宋体" w:cs="宋体"/>
          <w:b/>
          <w:bCs/>
          <w:color w:val="auto"/>
          <w:sz w:val="21"/>
          <w:szCs w:val="21"/>
          <w:highlight w:val="none"/>
        </w:rPr>
        <w:t>其它约定</w:t>
      </w:r>
      <w:r>
        <w:rPr>
          <w:rFonts w:hint="eastAsia" w:ascii="宋体" w:hAnsi="宋体" w:eastAsia="宋体" w:cs="宋体"/>
          <w:b/>
          <w:bCs/>
          <w:color w:val="auto"/>
          <w:sz w:val="21"/>
          <w:szCs w:val="21"/>
          <w:highlight w:val="none"/>
          <w:lang w:eastAsia="zh-CN"/>
        </w:rPr>
        <w:t>：</w:t>
      </w:r>
    </w:p>
    <w:p>
      <w:pPr>
        <w:widowControl/>
        <w:numPr>
          <w:ilvl w:val="0"/>
          <w:numId w:val="0"/>
        </w:numPr>
        <w:spacing w:line="600" w:lineRule="exact"/>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评审</w:t>
      </w:r>
      <w:r>
        <w:rPr>
          <w:rFonts w:hint="eastAsia" w:ascii="宋体" w:hAnsi="宋体" w:eastAsia="宋体" w:cs="宋体"/>
          <w:color w:val="auto"/>
          <w:sz w:val="21"/>
          <w:szCs w:val="21"/>
          <w:highlight w:val="none"/>
        </w:rPr>
        <w:t>结束后，</w:t>
      </w:r>
      <w:r>
        <w:rPr>
          <w:rFonts w:hint="eastAsia" w:ascii="宋体" w:hAnsi="宋体" w:eastAsia="宋体" w:cs="宋体"/>
          <w:color w:val="auto"/>
          <w:sz w:val="21"/>
          <w:szCs w:val="21"/>
          <w:highlight w:val="none"/>
          <w:lang w:eastAsia="zh-CN"/>
        </w:rPr>
        <w:t>招标人</w:t>
      </w:r>
      <w:r>
        <w:rPr>
          <w:rFonts w:hint="eastAsia" w:ascii="宋体" w:hAnsi="宋体" w:eastAsia="宋体" w:cs="宋体"/>
          <w:color w:val="auto"/>
          <w:sz w:val="21"/>
          <w:szCs w:val="21"/>
          <w:highlight w:val="none"/>
        </w:rPr>
        <w:t>根据项目实际需要，通过技术质询、市场考察，进一步对</w:t>
      </w:r>
      <w:r>
        <w:rPr>
          <w:rFonts w:hint="eastAsia" w:ascii="宋体" w:hAnsi="宋体" w:eastAsia="宋体" w:cs="宋体"/>
          <w:color w:val="auto"/>
          <w:sz w:val="21"/>
          <w:szCs w:val="21"/>
          <w:highlight w:val="none"/>
          <w:lang w:eastAsia="zh-CN"/>
        </w:rPr>
        <w:t>中标单位</w:t>
      </w:r>
      <w:r>
        <w:rPr>
          <w:rFonts w:hint="eastAsia" w:ascii="宋体" w:hAnsi="宋体" w:eastAsia="宋体" w:cs="宋体"/>
          <w:color w:val="auto"/>
          <w:sz w:val="21"/>
          <w:szCs w:val="21"/>
          <w:highlight w:val="none"/>
        </w:rPr>
        <w:t>履约情况进行核实和确认，如发现</w:t>
      </w:r>
      <w:r>
        <w:rPr>
          <w:rFonts w:hint="eastAsia" w:ascii="宋体" w:hAnsi="宋体" w:eastAsia="宋体" w:cs="宋体"/>
          <w:color w:val="auto"/>
          <w:sz w:val="21"/>
          <w:szCs w:val="21"/>
          <w:highlight w:val="none"/>
          <w:lang w:eastAsia="zh-CN"/>
        </w:rPr>
        <w:t>中标单位</w:t>
      </w:r>
      <w:r>
        <w:rPr>
          <w:rFonts w:hint="eastAsia" w:ascii="宋体" w:hAnsi="宋体" w:eastAsia="宋体" w:cs="宋体"/>
          <w:color w:val="auto"/>
          <w:sz w:val="21"/>
          <w:szCs w:val="21"/>
          <w:highlight w:val="none"/>
        </w:rPr>
        <w:t>有提供虚假资料或无法履约的情况，</w:t>
      </w:r>
      <w:r>
        <w:rPr>
          <w:rFonts w:hint="eastAsia" w:ascii="宋体" w:hAnsi="宋体" w:eastAsia="宋体" w:cs="宋体"/>
          <w:color w:val="auto"/>
          <w:sz w:val="21"/>
          <w:szCs w:val="21"/>
          <w:highlight w:val="none"/>
          <w:lang w:eastAsia="zh-CN"/>
        </w:rPr>
        <w:t>招标人</w:t>
      </w:r>
      <w:r>
        <w:rPr>
          <w:rFonts w:hint="eastAsia" w:ascii="宋体" w:hAnsi="宋体" w:eastAsia="宋体" w:cs="宋体"/>
          <w:color w:val="auto"/>
          <w:sz w:val="21"/>
          <w:szCs w:val="21"/>
          <w:highlight w:val="none"/>
        </w:rPr>
        <w:t>有权取消其</w:t>
      </w:r>
      <w:r>
        <w:rPr>
          <w:rFonts w:hint="eastAsia" w:ascii="宋体" w:hAnsi="宋体" w:eastAsia="宋体" w:cs="宋体"/>
          <w:color w:val="auto"/>
          <w:sz w:val="21"/>
          <w:szCs w:val="21"/>
          <w:highlight w:val="none"/>
          <w:lang w:eastAsia="zh-CN"/>
        </w:rPr>
        <w:t>中标</w:t>
      </w:r>
      <w:r>
        <w:rPr>
          <w:rFonts w:hint="eastAsia" w:ascii="宋体" w:hAnsi="宋体" w:eastAsia="宋体" w:cs="宋体"/>
          <w:color w:val="auto"/>
          <w:sz w:val="21"/>
          <w:szCs w:val="21"/>
          <w:highlight w:val="none"/>
        </w:rPr>
        <w:t>资格或终止合同。</w:t>
      </w:r>
    </w:p>
    <w:p>
      <w:pPr>
        <w:widowControl/>
        <w:numPr>
          <w:ilvl w:val="0"/>
          <w:numId w:val="0"/>
        </w:numPr>
        <w:spacing w:line="600" w:lineRule="exact"/>
        <w:ind w:firstLine="420" w:firstLineChars="200"/>
        <w:jc w:val="left"/>
        <w:rPr>
          <w:rFonts w:hint="eastAsia"/>
          <w:color w:val="auto"/>
        </w:rPr>
      </w:pPr>
      <w:r>
        <w:rPr>
          <w:rFonts w:hint="eastAsia" w:ascii="宋体" w:hAnsi="宋体" w:eastAsia="宋体" w:cs="宋体"/>
          <w:color w:val="auto"/>
          <w:sz w:val="21"/>
          <w:szCs w:val="21"/>
          <w:highlight w:val="none"/>
        </w:rPr>
        <w:t>合同履行过程中，招标人有权无条件终止合同。</w:t>
      </w:r>
    </w:p>
    <w:p>
      <w:pPr>
        <w:rPr>
          <w:rStyle w:val="7"/>
          <w:rFonts w:hint="eastAsia" w:ascii="宋体" w:hAnsi="宋体" w:eastAsia="宋体" w:cs="宋体"/>
          <w:b/>
          <w:color w:val="auto"/>
          <w:sz w:val="24"/>
          <w:szCs w:val="24"/>
          <w:highlight w:val="none"/>
          <w:lang w:val="en-US" w:eastAsia="zh-CN"/>
        </w:rPr>
      </w:pPr>
      <w:r>
        <w:rPr>
          <w:rStyle w:val="7"/>
          <w:rFonts w:hint="eastAsia" w:ascii="宋体" w:hAnsi="宋体" w:eastAsia="宋体" w:cs="宋体"/>
          <w:b/>
          <w:color w:val="auto"/>
          <w:sz w:val="24"/>
          <w:szCs w:val="24"/>
          <w:highlight w:val="none"/>
          <w:lang w:val="en-US" w:eastAsia="zh-CN"/>
        </w:rPr>
        <w:br w:type="page"/>
      </w:r>
    </w:p>
    <w:p>
      <w:pPr>
        <w:snapToGrid w:val="0"/>
        <w:ind w:firstLine="520" w:firstLineChars="202"/>
        <w:jc w:val="center"/>
        <w:rPr>
          <w:rStyle w:val="7"/>
          <w:rFonts w:hint="eastAsia" w:ascii="宋体" w:hAnsi="宋体" w:eastAsia="宋体" w:cs="宋体"/>
          <w:b/>
          <w:color w:val="auto"/>
          <w:w w:val="80"/>
          <w:kern w:val="44"/>
          <w:sz w:val="32"/>
          <w:szCs w:val="32"/>
          <w:highlight w:val="none"/>
          <w:lang w:val="en-US" w:eastAsia="zh-CN"/>
        </w:rPr>
      </w:pPr>
      <w:r>
        <w:rPr>
          <w:rStyle w:val="7"/>
          <w:rFonts w:hint="eastAsia" w:ascii="宋体" w:hAnsi="宋体" w:eastAsia="宋体" w:cs="宋体"/>
          <w:b/>
          <w:color w:val="auto"/>
          <w:w w:val="80"/>
          <w:kern w:val="44"/>
          <w:sz w:val="32"/>
          <w:szCs w:val="32"/>
          <w:highlight w:val="none"/>
          <w:lang w:val="en-US" w:eastAsia="zh-CN"/>
        </w:rPr>
        <w:t>第二部分 评审评分项</w:t>
      </w:r>
    </w:p>
    <w:p>
      <w:pPr>
        <w:snapToGrid w:val="0"/>
        <w:ind w:firstLine="487" w:firstLineChars="202"/>
        <w:rPr>
          <w:rStyle w:val="7"/>
          <w:rFonts w:hint="eastAsia" w:ascii="宋体" w:hAnsi="宋体" w:eastAsia="宋体" w:cs="宋体"/>
          <w:b/>
          <w:color w:val="auto"/>
          <w:sz w:val="24"/>
          <w:szCs w:val="24"/>
          <w:highlight w:val="none"/>
        </w:rPr>
      </w:pPr>
      <w:r>
        <w:rPr>
          <w:rStyle w:val="7"/>
          <w:rFonts w:hint="eastAsia" w:ascii="宋体" w:hAnsi="宋体" w:eastAsia="宋体" w:cs="宋体"/>
          <w:b/>
          <w:color w:val="auto"/>
          <w:sz w:val="24"/>
          <w:szCs w:val="24"/>
          <w:highlight w:val="none"/>
        </w:rPr>
        <w:t>（一）技术分：（</w:t>
      </w:r>
      <w:r>
        <w:rPr>
          <w:rStyle w:val="7"/>
          <w:rFonts w:hint="eastAsia" w:ascii="宋体" w:hAnsi="宋体" w:eastAsia="宋体" w:cs="宋体"/>
          <w:b/>
          <w:color w:val="auto"/>
          <w:sz w:val="24"/>
          <w:szCs w:val="24"/>
          <w:highlight w:val="none"/>
          <w:lang w:val="en-US" w:eastAsia="zh-CN"/>
        </w:rPr>
        <w:t>9</w:t>
      </w:r>
      <w:r>
        <w:rPr>
          <w:rStyle w:val="7"/>
          <w:rFonts w:hint="eastAsia" w:ascii="宋体" w:hAnsi="宋体" w:eastAsia="宋体" w:cs="宋体"/>
          <w:b/>
          <w:color w:val="auto"/>
          <w:sz w:val="24"/>
          <w:szCs w:val="24"/>
          <w:highlight w:val="none"/>
        </w:rPr>
        <w:t>0分）</w:t>
      </w:r>
    </w:p>
    <w:tbl>
      <w:tblPr>
        <w:tblStyle w:val="5"/>
        <w:tblW w:w="840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08" w:type="dxa"/>
          <w:bottom w:w="15" w:type="dxa"/>
          <w:right w:w="108" w:type="dxa"/>
        </w:tblCellMar>
      </w:tblPr>
      <w:tblGrid>
        <w:gridCol w:w="1581"/>
        <w:gridCol w:w="681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08" w:type="dxa"/>
            <w:bottom w:w="15" w:type="dxa"/>
            <w:right w:w="108" w:type="dxa"/>
          </w:tblCellMar>
        </w:tblPrEx>
        <w:trPr>
          <w:trHeight w:val="543" w:hRule="atLeast"/>
          <w:jc w:val="center"/>
        </w:trPr>
        <w:tc>
          <w:tcPr>
            <w:tcW w:w="1581" w:type="dxa"/>
            <w:noWrap/>
            <w:vAlign w:val="center"/>
          </w:tcPr>
          <w:p>
            <w:pPr>
              <w:widowControl/>
              <w:spacing w:line="360" w:lineRule="auto"/>
              <w:jc w:val="center"/>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评分因素</w:t>
            </w:r>
          </w:p>
        </w:tc>
        <w:tc>
          <w:tcPr>
            <w:tcW w:w="6819" w:type="dxa"/>
            <w:noWrap/>
            <w:vAlign w:val="center"/>
          </w:tcPr>
          <w:p>
            <w:pPr>
              <w:widowControl/>
              <w:spacing w:line="360" w:lineRule="auto"/>
              <w:jc w:val="center"/>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08" w:type="dxa"/>
            <w:bottom w:w="15" w:type="dxa"/>
            <w:right w:w="108" w:type="dxa"/>
          </w:tblCellMar>
        </w:tblPrEx>
        <w:trPr>
          <w:trHeight w:val="502" w:hRule="atLeast"/>
          <w:jc w:val="center"/>
        </w:trPr>
        <w:tc>
          <w:tcPr>
            <w:tcW w:w="1581" w:type="dxa"/>
            <w:noWrap/>
            <w:vAlign w:val="center"/>
          </w:tcPr>
          <w:p>
            <w:pPr>
              <w:widowControl/>
              <w:spacing w:line="36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拟派项目负责人资历</w:t>
            </w:r>
          </w:p>
          <w:p>
            <w:pPr>
              <w:widowControl/>
              <w:spacing w:line="360" w:lineRule="auto"/>
              <w:jc w:val="center"/>
              <w:rPr>
                <w:rFonts w:hint="eastAsia" w:ascii="宋体" w:hAnsi="宋体" w:eastAsia="宋体" w:cs="宋体"/>
                <w:color w:val="auto"/>
                <w:kern w:val="0"/>
                <w:sz w:val="21"/>
                <w:szCs w:val="21"/>
                <w:highlight w:val="none"/>
              </w:rPr>
            </w:pPr>
            <w:r>
              <w:rPr>
                <w:rFonts w:hint="eastAsia" w:ascii="宋体" w:hAnsi="宋体" w:eastAsia="宋体" w:cs="宋体"/>
                <w:color w:val="auto"/>
                <w:sz w:val="21"/>
                <w:szCs w:val="21"/>
                <w:highlight w:val="none"/>
              </w:rPr>
              <w:t>（</w:t>
            </w:r>
            <w:r>
              <w:rPr>
                <w:rFonts w:hint="eastAsia" w:ascii="宋体" w:hAnsi="宋体" w:eastAsia="宋体" w:cs="宋体"/>
                <w:color w:val="auto"/>
                <w:sz w:val="21"/>
                <w:szCs w:val="21"/>
                <w:highlight w:val="none"/>
                <w:lang w:val="en-US" w:eastAsia="zh-CN"/>
              </w:rPr>
              <w:t>20</w:t>
            </w:r>
            <w:r>
              <w:rPr>
                <w:rFonts w:hint="eastAsia" w:ascii="宋体" w:hAnsi="宋体" w:eastAsia="宋体" w:cs="宋体"/>
                <w:color w:val="auto"/>
                <w:sz w:val="21"/>
                <w:szCs w:val="21"/>
                <w:highlight w:val="none"/>
              </w:rPr>
              <w:t>分）</w:t>
            </w:r>
          </w:p>
        </w:tc>
        <w:tc>
          <w:tcPr>
            <w:tcW w:w="6819" w:type="dxa"/>
            <w:noWrap/>
            <w:vAlign w:val="center"/>
          </w:tcPr>
          <w:p>
            <w:pPr>
              <w:widowControl/>
              <w:spacing w:line="360" w:lineRule="auto"/>
              <w:jc w:val="left"/>
              <w:rPr>
                <w:rFonts w:hint="eastAsia"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 xml:space="preserve">项目负责人具有丰富的国有企业及政府采购招标工作经验，从事国有企业及政府采购招标工作5年（不含5年）-10年（含10年）的，根据佐证材料的充分性得5-10分；从事国有企业及政府采购招标工作10年以上（不含10年）的，根据佐证材料的完整性得11-20分。 </w:t>
            </w:r>
          </w:p>
          <w:p>
            <w:pPr>
              <w:widowControl/>
              <w:spacing w:line="360" w:lineRule="auto"/>
              <w:jc w:val="left"/>
              <w:rPr>
                <w:rFonts w:hint="eastAsia"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（提供公共资源交易网站截图或业主证明文件等材料佐证，所提供的材料由评委判定不能证明项目负责人工作经验的，不得分）。</w:t>
            </w:r>
          </w:p>
          <w:p>
            <w:pPr>
              <w:widowControl/>
              <w:spacing w:line="360" w:lineRule="auto"/>
              <w:jc w:val="left"/>
              <w:rPr>
                <w:rFonts w:hint="default" w:ascii="宋体" w:hAnsi="宋体" w:eastAsia="宋体" w:cs="宋体"/>
                <w:color w:val="auto"/>
                <w:kern w:val="0"/>
                <w:sz w:val="21"/>
                <w:szCs w:val="21"/>
                <w:highlight w:val="none"/>
                <w:lang w:val="en-US" w:eastAsia="zh-CN"/>
              </w:rPr>
            </w:pPr>
            <w:r>
              <w:rPr>
                <w:rFonts w:hint="eastAsia" w:ascii="宋体" w:hAnsi="宋体" w:eastAsia="宋体" w:cs="宋体"/>
                <w:b/>
                <w:bCs/>
                <w:color w:val="auto"/>
                <w:kern w:val="0"/>
                <w:sz w:val="21"/>
                <w:szCs w:val="21"/>
                <w:highlight w:val="none"/>
                <w:u w:val="single"/>
                <w:lang w:val="en-US" w:eastAsia="zh-CN"/>
              </w:rPr>
              <w:t>中标后，项目负责人不得更换，招标人单位所有采购项目均须由中标单位承诺的项目负责人直接对接。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08" w:type="dxa"/>
            <w:bottom w:w="15" w:type="dxa"/>
            <w:right w:w="108" w:type="dxa"/>
          </w:tblCellMar>
        </w:tblPrEx>
        <w:trPr>
          <w:trHeight w:val="1081" w:hRule="atLeast"/>
          <w:jc w:val="center"/>
        </w:trPr>
        <w:tc>
          <w:tcPr>
            <w:tcW w:w="1581" w:type="dxa"/>
            <w:noWrap/>
            <w:vAlign w:val="center"/>
          </w:tcPr>
          <w:p>
            <w:pPr>
              <w:widowControl/>
              <w:spacing w:line="360" w:lineRule="auto"/>
              <w:jc w:val="center"/>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拟派项目负责人现场答辩（20分）</w:t>
            </w:r>
          </w:p>
        </w:tc>
        <w:tc>
          <w:tcPr>
            <w:tcW w:w="6819" w:type="dxa"/>
            <w:noWrap/>
            <w:vAlign w:val="center"/>
          </w:tcPr>
          <w:p>
            <w:pPr>
              <w:widowControl/>
              <w:spacing w:line="360" w:lineRule="auto"/>
              <w:jc w:val="left"/>
              <w:rPr>
                <w:rFonts w:hint="default"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由评委会对拟派项目负责人的工作经验，处理采购相关问题的能力进行考察。15＜优≤20分，5分＜良≤15分，0分≤一般≤5。拟派项目负责人须携带本人身份证原件现场参加答辩，否则该项不得分。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08" w:type="dxa"/>
            <w:bottom w:w="15" w:type="dxa"/>
            <w:right w:w="108" w:type="dxa"/>
          </w:tblCellMar>
        </w:tblPrEx>
        <w:trPr>
          <w:trHeight w:val="1190" w:hRule="atLeast"/>
          <w:jc w:val="center"/>
        </w:trPr>
        <w:tc>
          <w:tcPr>
            <w:tcW w:w="1581" w:type="dxa"/>
            <w:noWrap/>
            <w:vAlign w:val="center"/>
          </w:tcPr>
          <w:p>
            <w:pPr>
              <w:widowControl/>
              <w:spacing w:line="360" w:lineRule="auto"/>
              <w:jc w:val="center"/>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业绩</w:t>
            </w:r>
          </w:p>
          <w:p>
            <w:pPr>
              <w:widowControl/>
              <w:spacing w:line="360" w:lineRule="auto"/>
              <w:jc w:val="center"/>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w:t>
            </w:r>
            <w:r>
              <w:rPr>
                <w:rFonts w:hint="eastAsia" w:ascii="宋体" w:hAnsi="宋体" w:eastAsia="宋体" w:cs="宋体"/>
                <w:color w:val="auto"/>
                <w:kern w:val="0"/>
                <w:sz w:val="21"/>
                <w:szCs w:val="21"/>
                <w:highlight w:val="none"/>
                <w:lang w:val="en-US" w:eastAsia="zh-CN"/>
              </w:rPr>
              <w:t>20</w:t>
            </w:r>
            <w:r>
              <w:rPr>
                <w:rFonts w:hint="eastAsia" w:ascii="宋体" w:hAnsi="宋体" w:eastAsia="宋体" w:cs="宋体"/>
                <w:color w:val="auto"/>
                <w:kern w:val="0"/>
                <w:sz w:val="21"/>
                <w:szCs w:val="21"/>
                <w:highlight w:val="none"/>
              </w:rPr>
              <w:t>分）</w:t>
            </w:r>
          </w:p>
        </w:tc>
        <w:tc>
          <w:tcPr>
            <w:tcW w:w="6819" w:type="dxa"/>
            <w:noWrap/>
            <w:vAlign w:val="center"/>
          </w:tcPr>
          <w:p>
            <w:pPr>
              <w:widowControl/>
              <w:spacing w:line="360" w:lineRule="auto"/>
              <w:jc w:val="left"/>
              <w:rPr>
                <w:rFonts w:hint="eastAsia" w:ascii="宋体" w:hAnsi="宋体" w:eastAsia="宋体" w:cs="宋体"/>
                <w:color w:val="auto"/>
                <w:kern w:val="0"/>
                <w:sz w:val="21"/>
                <w:szCs w:val="21"/>
                <w:highlight w:val="none"/>
              </w:rPr>
            </w:pPr>
            <w:r>
              <w:rPr>
                <w:rFonts w:hint="eastAsia" w:ascii="宋体" w:hAnsi="宋体" w:eastAsia="宋体" w:cs="宋体"/>
                <w:color w:val="auto"/>
                <w:sz w:val="21"/>
                <w:szCs w:val="21"/>
                <w:highlight w:val="none"/>
                <w:lang w:val="en-US" w:eastAsia="zh-CN"/>
              </w:rPr>
              <w:t>投标单位自</w:t>
            </w:r>
            <w:r>
              <w:rPr>
                <w:rFonts w:hint="eastAsia" w:ascii="宋体" w:hAnsi="宋体" w:eastAsia="宋体" w:cs="宋体"/>
                <w:color w:val="auto"/>
                <w:kern w:val="0"/>
                <w:sz w:val="21"/>
                <w:szCs w:val="21"/>
                <w:highlight w:val="none"/>
              </w:rPr>
              <w:t>201</w:t>
            </w:r>
            <w:r>
              <w:rPr>
                <w:rFonts w:hint="eastAsia" w:ascii="宋体" w:hAnsi="宋体" w:eastAsia="宋体" w:cs="宋体"/>
                <w:color w:val="auto"/>
                <w:kern w:val="0"/>
                <w:sz w:val="21"/>
                <w:szCs w:val="21"/>
                <w:highlight w:val="none"/>
                <w:lang w:val="en-US" w:eastAsia="zh-CN"/>
              </w:rPr>
              <w:t>9</w:t>
            </w:r>
            <w:r>
              <w:rPr>
                <w:rFonts w:hint="eastAsia" w:ascii="宋体" w:hAnsi="宋体" w:eastAsia="宋体" w:cs="宋体"/>
                <w:color w:val="auto"/>
                <w:kern w:val="0"/>
                <w:sz w:val="21"/>
                <w:szCs w:val="21"/>
                <w:highlight w:val="none"/>
              </w:rPr>
              <w:t>年</w:t>
            </w:r>
            <w:r>
              <w:rPr>
                <w:rFonts w:hint="eastAsia" w:ascii="宋体" w:hAnsi="宋体" w:eastAsia="宋体" w:cs="宋体"/>
                <w:color w:val="auto"/>
                <w:kern w:val="0"/>
                <w:sz w:val="21"/>
                <w:szCs w:val="21"/>
                <w:highlight w:val="none"/>
                <w:lang w:val="en-US" w:eastAsia="zh-CN"/>
              </w:rPr>
              <w:t>9</w:t>
            </w:r>
            <w:r>
              <w:rPr>
                <w:rFonts w:hint="eastAsia" w:ascii="宋体" w:hAnsi="宋体" w:eastAsia="宋体" w:cs="宋体"/>
                <w:color w:val="auto"/>
                <w:kern w:val="0"/>
                <w:sz w:val="21"/>
                <w:szCs w:val="21"/>
                <w:highlight w:val="none"/>
              </w:rPr>
              <w:t>月1日以来</w:t>
            </w:r>
            <w:r>
              <w:rPr>
                <w:rFonts w:hint="eastAsia" w:ascii="宋体" w:hAnsi="宋体" w:eastAsia="宋体" w:cs="宋体"/>
                <w:color w:val="auto"/>
                <w:kern w:val="0"/>
                <w:sz w:val="21"/>
                <w:szCs w:val="21"/>
                <w:highlight w:val="none"/>
                <w:lang w:eastAsia="zh-CN"/>
              </w:rPr>
              <w:t>（</w:t>
            </w:r>
            <w:r>
              <w:rPr>
                <w:rFonts w:hint="eastAsia" w:ascii="宋体" w:hAnsi="宋体" w:eastAsia="宋体" w:cs="宋体"/>
                <w:color w:val="auto"/>
                <w:kern w:val="0"/>
                <w:sz w:val="21"/>
                <w:szCs w:val="21"/>
                <w:highlight w:val="none"/>
                <w:lang w:val="en-US" w:eastAsia="zh-CN"/>
              </w:rPr>
              <w:t>以合同签订时间为准</w:t>
            </w:r>
            <w:r>
              <w:rPr>
                <w:rFonts w:hint="eastAsia" w:ascii="宋体" w:hAnsi="宋体" w:eastAsia="宋体" w:cs="宋体"/>
                <w:color w:val="auto"/>
                <w:kern w:val="0"/>
                <w:sz w:val="21"/>
                <w:szCs w:val="21"/>
                <w:highlight w:val="none"/>
                <w:lang w:eastAsia="zh-CN"/>
              </w:rPr>
              <w:t>）</w:t>
            </w:r>
            <w:r>
              <w:rPr>
                <w:rFonts w:hint="eastAsia" w:ascii="宋体" w:hAnsi="宋体" w:eastAsia="宋体" w:cs="宋体"/>
                <w:color w:val="auto"/>
                <w:sz w:val="21"/>
                <w:szCs w:val="21"/>
                <w:highlight w:val="none"/>
                <w:lang w:val="en-US" w:eastAsia="zh-CN"/>
              </w:rPr>
              <w:t>承接的在服务期内的市级及以上</w:t>
            </w:r>
            <w:r>
              <w:rPr>
                <w:rFonts w:hint="eastAsia" w:ascii="宋体" w:hAnsi="宋体" w:eastAsia="宋体" w:cs="宋体"/>
                <w:color w:val="auto"/>
                <w:sz w:val="21"/>
                <w:szCs w:val="21"/>
                <w:highlight w:val="none"/>
              </w:rPr>
              <w:t>采购类</w:t>
            </w:r>
            <w:r>
              <w:rPr>
                <w:rFonts w:hint="eastAsia" w:ascii="宋体" w:hAnsi="宋体" w:eastAsia="宋体" w:cs="宋体"/>
                <w:color w:val="auto"/>
                <w:sz w:val="21"/>
                <w:szCs w:val="21"/>
                <w:highlight w:val="none"/>
                <w:lang w:val="en-US" w:eastAsia="zh-CN"/>
              </w:rPr>
              <w:t>年度招标代理合同（服务期至少一年）</w:t>
            </w:r>
            <w:r>
              <w:rPr>
                <w:rFonts w:hint="eastAsia" w:ascii="宋体" w:hAnsi="宋体" w:eastAsia="宋体" w:cs="宋体"/>
                <w:color w:val="auto"/>
                <w:sz w:val="21"/>
                <w:szCs w:val="21"/>
                <w:highlight w:val="none"/>
              </w:rPr>
              <w:t>，</w:t>
            </w:r>
            <w:r>
              <w:rPr>
                <w:rFonts w:hint="eastAsia" w:ascii="宋体" w:hAnsi="宋体" w:eastAsia="宋体" w:cs="宋体"/>
                <w:color w:val="auto"/>
                <w:sz w:val="21"/>
                <w:szCs w:val="21"/>
                <w:highlight w:val="none"/>
                <w:lang w:val="en-US" w:eastAsia="zh-CN"/>
              </w:rPr>
              <w:t>有一个得2</w:t>
            </w:r>
            <w:r>
              <w:rPr>
                <w:rFonts w:hint="eastAsia" w:ascii="宋体" w:hAnsi="宋体" w:eastAsia="宋体" w:cs="宋体"/>
                <w:color w:val="auto"/>
                <w:sz w:val="21"/>
                <w:szCs w:val="21"/>
                <w:highlight w:val="none"/>
              </w:rPr>
              <w:t>分，满分</w:t>
            </w:r>
            <w:r>
              <w:rPr>
                <w:rFonts w:hint="eastAsia" w:ascii="宋体" w:hAnsi="宋体" w:eastAsia="宋体" w:cs="宋体"/>
                <w:color w:val="auto"/>
                <w:sz w:val="21"/>
                <w:szCs w:val="21"/>
                <w:highlight w:val="none"/>
                <w:lang w:val="en-US" w:eastAsia="zh-CN"/>
              </w:rPr>
              <w:t>20</w:t>
            </w:r>
            <w:r>
              <w:rPr>
                <w:rFonts w:hint="eastAsia" w:ascii="宋体" w:hAnsi="宋体" w:eastAsia="宋体" w:cs="宋体"/>
                <w:color w:val="auto"/>
                <w:sz w:val="21"/>
                <w:szCs w:val="21"/>
                <w:highlight w:val="none"/>
              </w:rPr>
              <w:t>分（提供</w:t>
            </w:r>
            <w:r>
              <w:rPr>
                <w:rFonts w:hint="eastAsia" w:ascii="宋体" w:hAnsi="宋体" w:eastAsia="宋体" w:cs="宋体"/>
                <w:color w:val="auto"/>
                <w:sz w:val="21"/>
                <w:szCs w:val="21"/>
                <w:highlight w:val="none"/>
                <w:lang w:val="en-US" w:eastAsia="zh-CN"/>
              </w:rPr>
              <w:t>合同复印件及与合同对应的一份发票复印件佐证，同一个业主单位的多份合同只计算一次得分，不在服务期内的合同不得分，非采购类年度合同不得分</w:t>
            </w:r>
            <w:r>
              <w:rPr>
                <w:rFonts w:hint="eastAsia" w:ascii="宋体" w:hAnsi="宋体" w:eastAsia="宋体" w:cs="宋体"/>
                <w:color w:val="auto"/>
                <w:sz w:val="21"/>
                <w:szCs w:val="21"/>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08" w:type="dxa"/>
            <w:bottom w:w="15" w:type="dxa"/>
            <w:right w:w="108" w:type="dxa"/>
          </w:tblCellMar>
        </w:tblPrEx>
        <w:trPr>
          <w:trHeight w:val="1190" w:hRule="atLeast"/>
          <w:jc w:val="center"/>
        </w:trPr>
        <w:tc>
          <w:tcPr>
            <w:tcW w:w="1581" w:type="dxa"/>
            <w:noWrap/>
            <w:vAlign w:val="center"/>
          </w:tcPr>
          <w:p>
            <w:pPr>
              <w:widowControl/>
              <w:spacing w:line="360" w:lineRule="auto"/>
              <w:jc w:val="center"/>
              <w:rPr>
                <w:rFonts w:hint="eastAsia"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市级考核</w:t>
            </w:r>
          </w:p>
          <w:p>
            <w:pPr>
              <w:widowControl/>
              <w:spacing w:line="360" w:lineRule="auto"/>
              <w:jc w:val="center"/>
              <w:rPr>
                <w:rFonts w:hint="eastAsia"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（10分）</w:t>
            </w:r>
          </w:p>
        </w:tc>
        <w:tc>
          <w:tcPr>
            <w:tcW w:w="6819" w:type="dxa"/>
            <w:noWrap/>
            <w:vAlign w:val="center"/>
          </w:tcPr>
          <w:p>
            <w:pPr>
              <w:widowControl/>
              <w:spacing w:line="360" w:lineRule="auto"/>
              <w:jc w:val="left"/>
              <w:rPr>
                <w:rFonts w:hint="eastAsia" w:ascii="宋体" w:hAnsi="宋体" w:eastAsia="宋体" w:cs="宋体"/>
                <w:color w:val="auto"/>
                <w:sz w:val="21"/>
                <w:szCs w:val="21"/>
                <w:highlight w:val="none"/>
                <w:lang w:val="en-US" w:eastAsia="zh-CN"/>
              </w:rPr>
            </w:pPr>
            <w:r>
              <w:rPr>
                <w:rFonts w:hint="eastAsia" w:ascii="宋体" w:hAnsi="宋体" w:eastAsia="宋体" w:cs="宋体"/>
                <w:color w:val="auto"/>
                <w:kern w:val="0"/>
                <w:sz w:val="21"/>
                <w:szCs w:val="21"/>
                <w:highlight w:val="none"/>
                <w:lang w:val="en-US" w:eastAsia="zh-CN"/>
              </w:rPr>
              <w:t>投标单位自2020年以来，在市级及以上政府采购网公示的市级</w:t>
            </w:r>
            <w:r>
              <w:rPr>
                <w:rFonts w:hint="eastAsia" w:ascii="宋体" w:hAnsi="宋体" w:eastAsia="宋体" w:cs="宋体"/>
                <w:color w:val="auto"/>
                <w:kern w:val="0"/>
                <w:sz w:val="21"/>
                <w:szCs w:val="21"/>
                <w:highlight w:val="none"/>
              </w:rPr>
              <w:t>政府采购代理机构考核记分结果通</w:t>
            </w:r>
            <w:r>
              <w:rPr>
                <w:rFonts w:hint="eastAsia" w:ascii="宋体" w:hAnsi="宋体" w:eastAsia="宋体" w:cs="宋体"/>
                <w:color w:val="auto"/>
                <w:kern w:val="0"/>
                <w:sz w:val="21"/>
                <w:szCs w:val="21"/>
                <w:highlight w:val="none"/>
                <w:lang w:val="en-US" w:eastAsia="zh-CN"/>
              </w:rPr>
              <w:t>告中，未有扣分，得10分。提供承诺函，格式自拟。投标单位名单至少在2022年度公布的考核名单中，否则本项不得分。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08" w:type="dxa"/>
            <w:bottom w:w="15" w:type="dxa"/>
            <w:right w:w="108" w:type="dxa"/>
          </w:tblCellMar>
        </w:tblPrEx>
        <w:trPr>
          <w:trHeight w:val="527" w:hRule="atLeast"/>
          <w:jc w:val="center"/>
        </w:trPr>
        <w:tc>
          <w:tcPr>
            <w:tcW w:w="1581" w:type="dxa"/>
            <w:vMerge w:val="restart"/>
            <w:noWrap/>
            <w:vAlign w:val="center"/>
          </w:tcPr>
          <w:p>
            <w:pPr>
              <w:widowControl/>
              <w:spacing w:line="36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招标代理</w:t>
            </w:r>
          </w:p>
          <w:p>
            <w:pPr>
              <w:widowControl/>
              <w:spacing w:line="36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实施方案</w:t>
            </w:r>
          </w:p>
          <w:p>
            <w:pPr>
              <w:widowControl/>
              <w:spacing w:line="360" w:lineRule="auto"/>
              <w:jc w:val="center"/>
              <w:rPr>
                <w:rFonts w:hint="eastAsia" w:ascii="宋体" w:hAnsi="宋体" w:eastAsia="宋体" w:cs="宋体"/>
                <w:color w:val="auto"/>
                <w:kern w:val="0"/>
                <w:sz w:val="21"/>
                <w:szCs w:val="21"/>
                <w:highlight w:val="none"/>
              </w:rPr>
            </w:pPr>
            <w:r>
              <w:rPr>
                <w:rFonts w:hint="eastAsia" w:ascii="宋体" w:hAnsi="宋体" w:eastAsia="宋体" w:cs="宋体"/>
                <w:color w:val="auto"/>
                <w:sz w:val="21"/>
                <w:szCs w:val="21"/>
                <w:highlight w:val="none"/>
              </w:rPr>
              <w:t>（</w:t>
            </w:r>
            <w:r>
              <w:rPr>
                <w:rFonts w:hint="eastAsia" w:ascii="宋体" w:hAnsi="宋体" w:eastAsia="宋体" w:cs="宋体"/>
                <w:color w:val="auto"/>
                <w:sz w:val="21"/>
                <w:szCs w:val="21"/>
                <w:highlight w:val="none"/>
                <w:lang w:val="en-US" w:eastAsia="zh-CN"/>
              </w:rPr>
              <w:t>20</w:t>
            </w:r>
            <w:r>
              <w:rPr>
                <w:rFonts w:hint="eastAsia" w:ascii="宋体" w:hAnsi="宋体" w:eastAsia="宋体" w:cs="宋体"/>
                <w:color w:val="auto"/>
                <w:sz w:val="21"/>
                <w:szCs w:val="21"/>
                <w:highlight w:val="none"/>
              </w:rPr>
              <w:t>分）</w:t>
            </w:r>
          </w:p>
        </w:tc>
        <w:tc>
          <w:tcPr>
            <w:tcW w:w="6819" w:type="dxa"/>
            <w:noWrap/>
            <w:vAlign w:val="center"/>
          </w:tcPr>
          <w:p>
            <w:pPr>
              <w:spacing w:line="36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①项目组的组织形式、人员配备计划及人员岗位职责；3</w:t>
            </w:r>
            <w:r>
              <w:rPr>
                <w:rFonts w:hint="eastAsia" w:ascii="宋体" w:hAnsi="宋体" w:eastAsia="宋体" w:cs="宋体"/>
                <w:color w:val="auto"/>
                <w:sz w:val="21"/>
                <w:szCs w:val="21"/>
                <w:highlight w:val="none"/>
                <w:lang w:eastAsia="zh-CN"/>
              </w:rPr>
              <w:t>分</w:t>
            </w:r>
            <w:r>
              <w:rPr>
                <w:rFonts w:hint="eastAsia" w:ascii="宋体" w:hAnsi="宋体" w:eastAsia="宋体" w:cs="宋体"/>
                <w:color w:val="auto"/>
                <w:sz w:val="21"/>
                <w:szCs w:val="21"/>
                <w:highlight w:val="none"/>
              </w:rPr>
              <w:t>＜优≤5分，1分＜良≤3分，0分≤一般≤1</w:t>
            </w:r>
            <w:r>
              <w:rPr>
                <w:rFonts w:hint="eastAsia" w:ascii="宋体" w:hAnsi="宋体" w:eastAsia="宋体" w:cs="宋体"/>
                <w:color w:val="auto"/>
                <w:sz w:val="21"/>
                <w:szCs w:val="21"/>
                <w:highlight w:val="none"/>
                <w:lang w:eastAsia="zh-CN"/>
              </w:rPr>
              <w:t>分</w:t>
            </w:r>
            <w:r>
              <w:rPr>
                <w:rFonts w:hint="eastAsia" w:ascii="宋体" w:hAnsi="宋体" w:eastAsia="宋体" w:cs="宋体"/>
                <w:color w:val="auto"/>
                <w:sz w:val="21"/>
                <w:szCs w:val="21"/>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08" w:type="dxa"/>
            <w:bottom w:w="15" w:type="dxa"/>
            <w:right w:w="108" w:type="dxa"/>
          </w:tblCellMar>
        </w:tblPrEx>
        <w:trPr>
          <w:trHeight w:val="940" w:hRule="atLeast"/>
          <w:jc w:val="center"/>
        </w:trPr>
        <w:tc>
          <w:tcPr>
            <w:tcW w:w="1581" w:type="dxa"/>
            <w:vMerge w:val="continue"/>
            <w:noWrap/>
            <w:vAlign w:val="center"/>
          </w:tcPr>
          <w:p>
            <w:pPr>
              <w:widowControl/>
              <w:spacing w:line="360" w:lineRule="auto"/>
              <w:jc w:val="left"/>
              <w:rPr>
                <w:rFonts w:hint="eastAsia" w:ascii="宋体" w:hAnsi="宋体" w:eastAsia="宋体" w:cs="宋体"/>
                <w:color w:val="auto"/>
                <w:kern w:val="0"/>
                <w:sz w:val="21"/>
                <w:szCs w:val="21"/>
                <w:highlight w:val="none"/>
              </w:rPr>
            </w:pPr>
          </w:p>
        </w:tc>
        <w:tc>
          <w:tcPr>
            <w:tcW w:w="6819" w:type="dxa"/>
            <w:noWrap/>
            <w:vAlign w:val="center"/>
          </w:tcPr>
          <w:p>
            <w:pPr>
              <w:spacing w:line="36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②采购项目工作程序、工作方法及措施、工作制度；3</w:t>
            </w:r>
            <w:r>
              <w:rPr>
                <w:rFonts w:hint="eastAsia" w:ascii="宋体" w:hAnsi="宋体" w:eastAsia="宋体" w:cs="宋体"/>
                <w:color w:val="auto"/>
                <w:sz w:val="21"/>
                <w:szCs w:val="21"/>
                <w:highlight w:val="none"/>
                <w:lang w:eastAsia="zh-CN"/>
              </w:rPr>
              <w:t>分</w:t>
            </w:r>
            <w:r>
              <w:rPr>
                <w:rFonts w:hint="eastAsia" w:ascii="宋体" w:hAnsi="宋体" w:eastAsia="宋体" w:cs="宋体"/>
                <w:color w:val="auto"/>
                <w:sz w:val="21"/>
                <w:szCs w:val="21"/>
                <w:highlight w:val="none"/>
              </w:rPr>
              <w:t>＜优≤5分，1分＜良≤3分，0分≤一般≤1</w:t>
            </w:r>
            <w:r>
              <w:rPr>
                <w:rFonts w:hint="eastAsia" w:ascii="宋体" w:hAnsi="宋体" w:eastAsia="宋体" w:cs="宋体"/>
                <w:color w:val="auto"/>
                <w:sz w:val="21"/>
                <w:szCs w:val="21"/>
                <w:highlight w:val="none"/>
                <w:lang w:eastAsia="zh-CN"/>
              </w:rPr>
              <w:t>分</w:t>
            </w:r>
            <w:r>
              <w:rPr>
                <w:rFonts w:hint="eastAsia" w:ascii="宋体" w:hAnsi="宋体" w:eastAsia="宋体" w:cs="宋体"/>
                <w:color w:val="auto"/>
                <w:sz w:val="21"/>
                <w:szCs w:val="21"/>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08" w:type="dxa"/>
            <w:bottom w:w="15" w:type="dxa"/>
            <w:right w:w="108" w:type="dxa"/>
          </w:tblCellMar>
        </w:tblPrEx>
        <w:trPr>
          <w:trHeight w:val="1404" w:hRule="atLeast"/>
          <w:jc w:val="center"/>
        </w:trPr>
        <w:tc>
          <w:tcPr>
            <w:tcW w:w="1581" w:type="dxa"/>
            <w:vMerge w:val="continue"/>
            <w:noWrap/>
            <w:vAlign w:val="center"/>
          </w:tcPr>
          <w:p>
            <w:pPr>
              <w:widowControl/>
              <w:spacing w:line="360" w:lineRule="auto"/>
              <w:jc w:val="left"/>
              <w:rPr>
                <w:rFonts w:hint="eastAsia" w:ascii="宋体" w:hAnsi="宋体" w:eastAsia="宋体" w:cs="宋体"/>
                <w:color w:val="auto"/>
                <w:kern w:val="0"/>
                <w:sz w:val="21"/>
                <w:szCs w:val="21"/>
                <w:highlight w:val="none"/>
              </w:rPr>
            </w:pPr>
          </w:p>
        </w:tc>
        <w:tc>
          <w:tcPr>
            <w:tcW w:w="6819" w:type="dxa"/>
            <w:noWrap/>
            <w:vAlign w:val="center"/>
          </w:tcPr>
          <w:p>
            <w:pPr>
              <w:spacing w:line="36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③对采购招标代理控制特点、难点、关键点的认识，以及实施进程中如何对关键点进行控制等。3</w:t>
            </w:r>
            <w:r>
              <w:rPr>
                <w:rFonts w:hint="eastAsia" w:ascii="宋体" w:hAnsi="宋体" w:eastAsia="宋体" w:cs="宋体"/>
                <w:color w:val="auto"/>
                <w:sz w:val="21"/>
                <w:szCs w:val="21"/>
                <w:highlight w:val="none"/>
                <w:lang w:eastAsia="zh-CN"/>
              </w:rPr>
              <w:t>分</w:t>
            </w:r>
            <w:r>
              <w:rPr>
                <w:rFonts w:hint="eastAsia" w:ascii="宋体" w:hAnsi="宋体" w:eastAsia="宋体" w:cs="宋体"/>
                <w:color w:val="auto"/>
                <w:sz w:val="21"/>
                <w:szCs w:val="21"/>
                <w:highlight w:val="none"/>
              </w:rPr>
              <w:t>＜优≤5分，1分＜良≤3分，0分≤一般≤1</w:t>
            </w:r>
            <w:r>
              <w:rPr>
                <w:rFonts w:hint="eastAsia" w:ascii="宋体" w:hAnsi="宋体" w:eastAsia="宋体" w:cs="宋体"/>
                <w:color w:val="auto"/>
                <w:sz w:val="21"/>
                <w:szCs w:val="21"/>
                <w:highlight w:val="none"/>
                <w:lang w:eastAsia="zh-CN"/>
              </w:rPr>
              <w:t>分</w:t>
            </w:r>
            <w:r>
              <w:rPr>
                <w:rFonts w:hint="eastAsia" w:ascii="宋体" w:hAnsi="宋体" w:eastAsia="宋体" w:cs="宋体"/>
                <w:color w:val="auto"/>
                <w:sz w:val="21"/>
                <w:szCs w:val="21"/>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08" w:type="dxa"/>
            <w:bottom w:w="15" w:type="dxa"/>
            <w:right w:w="108" w:type="dxa"/>
          </w:tblCellMar>
        </w:tblPrEx>
        <w:trPr>
          <w:trHeight w:val="1513" w:hRule="atLeast"/>
          <w:jc w:val="center"/>
        </w:trPr>
        <w:tc>
          <w:tcPr>
            <w:tcW w:w="1581" w:type="dxa"/>
            <w:vMerge w:val="continue"/>
            <w:noWrap/>
            <w:vAlign w:val="center"/>
          </w:tcPr>
          <w:p>
            <w:pPr>
              <w:widowControl/>
              <w:spacing w:line="360" w:lineRule="auto"/>
              <w:jc w:val="left"/>
              <w:rPr>
                <w:rFonts w:hint="eastAsia" w:ascii="宋体" w:hAnsi="宋体" w:eastAsia="宋体" w:cs="宋体"/>
                <w:color w:val="auto"/>
                <w:kern w:val="0"/>
                <w:sz w:val="21"/>
                <w:szCs w:val="21"/>
                <w:highlight w:val="none"/>
              </w:rPr>
            </w:pPr>
          </w:p>
        </w:tc>
        <w:tc>
          <w:tcPr>
            <w:tcW w:w="6819" w:type="dxa"/>
            <w:noWrap/>
            <w:vAlign w:val="center"/>
          </w:tcPr>
          <w:p>
            <w:pPr>
              <w:spacing w:line="360" w:lineRule="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fldChar w:fldCharType="begin"/>
            </w:r>
            <w:r>
              <w:rPr>
                <w:rFonts w:hint="eastAsia" w:ascii="宋体" w:hAnsi="宋体" w:eastAsia="宋体" w:cs="宋体"/>
                <w:color w:val="auto"/>
                <w:sz w:val="21"/>
                <w:szCs w:val="21"/>
                <w:highlight w:val="none"/>
                <w:lang w:val="en-US" w:eastAsia="zh-CN"/>
              </w:rPr>
              <w:instrText xml:space="preserve"> = 4 \* GB3 \* MERGEFORMAT </w:instrText>
            </w:r>
            <w:r>
              <w:rPr>
                <w:rFonts w:hint="eastAsia" w:ascii="宋体" w:hAnsi="宋体" w:eastAsia="宋体" w:cs="宋体"/>
                <w:color w:val="auto"/>
                <w:sz w:val="21"/>
                <w:szCs w:val="21"/>
                <w:highlight w:val="none"/>
                <w:lang w:val="en-US" w:eastAsia="zh-CN"/>
              </w:rPr>
              <w:fldChar w:fldCharType="separate"/>
            </w:r>
            <w:r>
              <w:rPr>
                <w:rFonts w:hint="eastAsia" w:ascii="宋体" w:hAnsi="宋体" w:eastAsia="宋体" w:cs="宋体"/>
                <w:color w:val="auto"/>
                <w:sz w:val="21"/>
                <w:szCs w:val="21"/>
                <w:highlight w:val="none"/>
                <w:lang w:val="en-US" w:eastAsia="zh-CN"/>
              </w:rPr>
              <w:t>④</w:t>
            </w:r>
            <w:r>
              <w:rPr>
                <w:rFonts w:hint="eastAsia" w:ascii="宋体" w:hAnsi="宋体" w:eastAsia="宋体" w:cs="宋体"/>
                <w:color w:val="auto"/>
                <w:sz w:val="21"/>
                <w:szCs w:val="21"/>
                <w:highlight w:val="none"/>
                <w:lang w:val="en-US" w:eastAsia="zh-CN"/>
              </w:rPr>
              <w:fldChar w:fldCharType="end"/>
            </w:r>
            <w:r>
              <w:rPr>
                <w:rFonts w:hint="eastAsia" w:ascii="宋体" w:hAnsi="宋体" w:eastAsia="宋体" w:cs="宋体"/>
                <w:color w:val="auto"/>
                <w:sz w:val="21"/>
                <w:szCs w:val="21"/>
                <w:highlight w:val="none"/>
                <w:lang w:val="en-US" w:eastAsia="zh-CN"/>
              </w:rPr>
              <w:t>投标单位须具备快速响应能力，接招标人临时会议通知，须在2小时内到达招标人办公地点。提供有效的承诺书和最快应急响应时效的证明材料得5分。</w:t>
            </w:r>
            <w:r>
              <w:rPr>
                <w:rFonts w:hint="eastAsia" w:ascii="宋体" w:hAnsi="宋体" w:eastAsia="宋体" w:cs="宋体"/>
                <w:color w:val="auto"/>
                <w:kern w:val="0"/>
                <w:sz w:val="21"/>
                <w:szCs w:val="21"/>
                <w:highlight w:val="none"/>
                <w:lang w:val="en-US" w:eastAsia="zh-CN"/>
              </w:rPr>
              <w:t>所提供的材料由评委判定不能证明最快应急响应时效证明的，不得分。</w:t>
            </w:r>
          </w:p>
        </w:tc>
      </w:tr>
    </w:tbl>
    <w:p>
      <w:pPr>
        <w:snapToGrid w:val="0"/>
        <w:ind w:firstLine="487" w:firstLineChars="202"/>
        <w:rPr>
          <w:rStyle w:val="7"/>
          <w:rFonts w:hint="eastAsia" w:ascii="宋体" w:hAnsi="宋体" w:eastAsia="宋体" w:cs="宋体"/>
          <w:b/>
          <w:color w:val="auto"/>
          <w:sz w:val="24"/>
          <w:szCs w:val="24"/>
          <w:highlight w:val="none"/>
        </w:rPr>
      </w:pPr>
    </w:p>
    <w:p>
      <w:pPr>
        <w:snapToGrid w:val="0"/>
        <w:ind w:firstLine="487" w:firstLineChars="202"/>
        <w:rPr>
          <w:rStyle w:val="7"/>
          <w:rFonts w:hint="eastAsia" w:ascii="宋体" w:hAnsi="宋体" w:eastAsia="宋体" w:cs="宋体"/>
          <w:b/>
          <w:color w:val="auto"/>
          <w:sz w:val="24"/>
          <w:szCs w:val="24"/>
          <w:highlight w:val="none"/>
        </w:rPr>
      </w:pPr>
      <w:r>
        <w:rPr>
          <w:rStyle w:val="7"/>
          <w:rFonts w:hint="eastAsia" w:ascii="宋体" w:hAnsi="宋体" w:eastAsia="宋体" w:cs="宋体"/>
          <w:b/>
          <w:color w:val="auto"/>
          <w:sz w:val="24"/>
          <w:szCs w:val="24"/>
          <w:highlight w:val="none"/>
        </w:rPr>
        <w:t>（二）商务报价响应评分：（</w:t>
      </w:r>
      <w:r>
        <w:rPr>
          <w:rStyle w:val="7"/>
          <w:rFonts w:hint="eastAsia" w:ascii="宋体" w:hAnsi="宋体" w:eastAsia="宋体" w:cs="宋体"/>
          <w:b/>
          <w:color w:val="auto"/>
          <w:sz w:val="24"/>
          <w:szCs w:val="24"/>
          <w:highlight w:val="none"/>
          <w:lang w:val="en-US" w:eastAsia="zh-CN"/>
        </w:rPr>
        <w:t>1</w:t>
      </w:r>
      <w:r>
        <w:rPr>
          <w:rStyle w:val="7"/>
          <w:rFonts w:hint="eastAsia" w:ascii="宋体" w:hAnsi="宋体" w:eastAsia="宋体" w:cs="宋体"/>
          <w:b/>
          <w:color w:val="auto"/>
          <w:sz w:val="24"/>
          <w:szCs w:val="24"/>
          <w:highlight w:val="none"/>
        </w:rPr>
        <w:t>0分）</w:t>
      </w:r>
    </w:p>
    <w:p>
      <w:pPr>
        <w:snapToGrid w:val="0"/>
        <w:ind w:firstLine="487" w:firstLineChars="202"/>
        <w:rPr>
          <w:rStyle w:val="7"/>
          <w:rFonts w:hint="eastAsia" w:ascii="宋体" w:hAnsi="宋体" w:eastAsia="宋体" w:cs="宋体"/>
          <w:b/>
          <w:bCs/>
          <w:color w:val="auto"/>
          <w:sz w:val="24"/>
          <w:szCs w:val="24"/>
          <w:highlight w:val="none"/>
          <w:lang w:val="en-US" w:eastAsia="zh-CN"/>
        </w:rPr>
      </w:pPr>
      <w:r>
        <w:rPr>
          <w:rStyle w:val="7"/>
          <w:rFonts w:hint="eastAsia" w:ascii="宋体" w:hAnsi="宋体" w:eastAsia="宋体" w:cs="宋体"/>
          <w:b/>
          <w:bCs/>
          <w:color w:val="auto"/>
          <w:sz w:val="24"/>
          <w:szCs w:val="24"/>
          <w:highlight w:val="none"/>
        </w:rPr>
        <w:t>1.本项目</w:t>
      </w:r>
      <w:r>
        <w:rPr>
          <w:rStyle w:val="7"/>
          <w:rFonts w:hint="eastAsia" w:ascii="宋体" w:hAnsi="宋体" w:eastAsia="宋体" w:cs="宋体"/>
          <w:b/>
          <w:bCs/>
          <w:color w:val="auto"/>
          <w:sz w:val="24"/>
          <w:szCs w:val="24"/>
          <w:highlight w:val="none"/>
          <w:lang w:val="en-US" w:eastAsia="zh-CN"/>
        </w:rPr>
        <w:t>最高限价为2‰，投标报价高于最高限价的作为无效标处理。</w:t>
      </w:r>
    </w:p>
    <w:p>
      <w:pPr>
        <w:snapToGrid w:val="0"/>
        <w:ind w:firstLine="484" w:firstLineChars="202"/>
        <w:rPr>
          <w:rStyle w:val="7"/>
          <w:rFonts w:hint="eastAsia" w:ascii="宋体" w:hAnsi="宋体" w:eastAsia="宋体" w:cs="宋体"/>
          <w:color w:val="auto"/>
          <w:sz w:val="24"/>
          <w:szCs w:val="24"/>
          <w:highlight w:val="none"/>
        </w:rPr>
      </w:pPr>
      <w:r>
        <w:rPr>
          <w:rStyle w:val="7"/>
          <w:rFonts w:hint="eastAsia" w:ascii="宋体" w:hAnsi="宋体" w:eastAsia="宋体" w:cs="宋体"/>
          <w:color w:val="auto"/>
          <w:sz w:val="24"/>
          <w:szCs w:val="24"/>
          <w:highlight w:val="none"/>
        </w:rPr>
        <w:t>2.满足招标文件要求且投标报价最低的报价为评标基准价，其商务报价响应得分为满分。</w:t>
      </w:r>
    </w:p>
    <w:p>
      <w:pPr>
        <w:snapToGrid w:val="0"/>
        <w:ind w:firstLine="484" w:firstLineChars="202"/>
        <w:rPr>
          <w:rStyle w:val="7"/>
          <w:rFonts w:hint="eastAsia" w:ascii="宋体" w:hAnsi="宋体" w:eastAsia="宋体" w:cs="宋体"/>
          <w:color w:val="auto"/>
          <w:sz w:val="24"/>
          <w:szCs w:val="24"/>
          <w:highlight w:val="none"/>
        </w:rPr>
      </w:pPr>
      <w:r>
        <w:rPr>
          <w:rStyle w:val="7"/>
          <w:rFonts w:hint="eastAsia" w:ascii="宋体" w:hAnsi="宋体" w:eastAsia="宋体" w:cs="宋体"/>
          <w:color w:val="auto"/>
          <w:sz w:val="24"/>
          <w:szCs w:val="24"/>
          <w:highlight w:val="none"/>
        </w:rPr>
        <w:t>3.其他投标供应商的商务报价响应得分分别按照下列公式计算：</w:t>
      </w:r>
    </w:p>
    <w:p>
      <w:pPr>
        <w:snapToGrid w:val="0"/>
        <w:ind w:firstLine="484" w:firstLineChars="202"/>
        <w:rPr>
          <w:rStyle w:val="7"/>
          <w:rFonts w:hint="eastAsia" w:ascii="宋体" w:hAnsi="宋体" w:eastAsia="宋体" w:cs="宋体"/>
          <w:color w:val="auto"/>
          <w:sz w:val="24"/>
          <w:szCs w:val="24"/>
          <w:highlight w:val="none"/>
        </w:rPr>
      </w:pPr>
      <w:r>
        <w:rPr>
          <w:rStyle w:val="7"/>
          <w:rFonts w:hint="eastAsia" w:ascii="宋体" w:hAnsi="宋体" w:eastAsia="宋体" w:cs="宋体"/>
          <w:color w:val="auto"/>
          <w:sz w:val="24"/>
          <w:szCs w:val="24"/>
          <w:highlight w:val="none"/>
        </w:rPr>
        <w:t>商务报价响应得分 =（评标基准价/投标报价）×</w:t>
      </w:r>
      <w:r>
        <w:rPr>
          <w:rStyle w:val="7"/>
          <w:rFonts w:hint="eastAsia" w:ascii="宋体" w:hAnsi="宋体" w:eastAsia="宋体" w:cs="宋体"/>
          <w:color w:val="auto"/>
          <w:sz w:val="24"/>
          <w:szCs w:val="24"/>
          <w:highlight w:val="none"/>
          <w:lang w:val="en-US" w:eastAsia="zh-CN"/>
        </w:rPr>
        <w:t>1</w:t>
      </w:r>
      <w:r>
        <w:rPr>
          <w:rStyle w:val="7"/>
          <w:rFonts w:hint="eastAsia" w:ascii="宋体" w:hAnsi="宋体" w:eastAsia="宋体" w:cs="宋体"/>
          <w:color w:val="auto"/>
          <w:sz w:val="24"/>
          <w:szCs w:val="24"/>
          <w:highlight w:val="none"/>
        </w:rPr>
        <w:t>0%×100</w:t>
      </w:r>
    </w:p>
    <w:p>
      <w:pPr>
        <w:snapToGrid w:val="0"/>
        <w:ind w:firstLine="487" w:firstLineChars="202"/>
        <w:rPr>
          <w:rStyle w:val="7"/>
          <w:rFonts w:hint="eastAsia" w:ascii="宋体" w:hAnsi="宋体" w:eastAsia="宋体" w:cs="宋体"/>
          <w:b/>
          <w:bCs/>
          <w:color w:val="auto"/>
          <w:sz w:val="24"/>
          <w:szCs w:val="24"/>
          <w:highlight w:val="none"/>
          <w:u w:val="single"/>
          <w:lang w:val="en-US" w:eastAsia="zh-CN"/>
        </w:rPr>
      </w:pPr>
      <w:r>
        <w:rPr>
          <w:rStyle w:val="7"/>
          <w:rFonts w:hint="eastAsia" w:ascii="宋体" w:hAnsi="宋体" w:eastAsia="宋体" w:cs="宋体"/>
          <w:b/>
          <w:bCs/>
          <w:color w:val="auto"/>
          <w:sz w:val="24"/>
          <w:szCs w:val="24"/>
          <w:highlight w:val="none"/>
          <w:u w:val="single"/>
          <w:lang w:val="en-US" w:eastAsia="zh-CN"/>
        </w:rPr>
        <w:t>4.报价不得为零，不得为负数，否则做无效标处理。</w:t>
      </w:r>
    </w:p>
    <w:p>
      <w:pPr>
        <w:rPr>
          <w:color w:val="auto"/>
          <w:highlight w:val="none"/>
        </w:rPr>
      </w:pPr>
      <w:bookmarkStart w:id="0" w:name="_GoBack"/>
      <w:bookmarkEnd w:id="0"/>
    </w:p>
    <w:sectPr>
      <w:pgSz w:w="11906" w:h="16838"/>
      <w:pgMar w:top="1440" w:right="1800" w:bottom="1440"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楷体_GB2312">
    <w:altName w:val="楷体"/>
    <w:panose1 w:val="02010609030101010101"/>
    <w:charset w:val="86"/>
    <w:family w:val="modern"/>
    <w:pitch w:val="default"/>
    <w:sig w:usb0="00000000" w:usb1="00000000" w:usb2="00000010" w:usb3="00000000" w:csb0="00040000" w:csb1="00000000"/>
  </w:font>
  <w:font w:name="楷体">
    <w:panose1 w:val="02010609060101010101"/>
    <w:charset w:val="86"/>
    <w:family w:val="auto"/>
    <w:pitch w:val="default"/>
    <w:sig w:usb0="800002BF" w:usb1="38CF7CFA" w:usb2="00000016" w:usb3="00000000" w:csb0="0004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pPr>
      <w:r>
        <w:separator/>
      </w:r>
    </w:p>
  </w:footnote>
  <w:footnote w:type="continuationSeparator" w:id="1">
    <w:p>
      <w:pPr>
        <w:spacing w:line="36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2690064"/>
    <w:rsid w:val="01705C99"/>
    <w:rsid w:val="05805269"/>
    <w:rsid w:val="100828AD"/>
    <w:rsid w:val="167421DE"/>
    <w:rsid w:val="187675E6"/>
    <w:rsid w:val="1946255C"/>
    <w:rsid w:val="2418219D"/>
    <w:rsid w:val="266D1322"/>
    <w:rsid w:val="2A790643"/>
    <w:rsid w:val="2C4A738C"/>
    <w:rsid w:val="32047E1A"/>
    <w:rsid w:val="36BD095F"/>
    <w:rsid w:val="37FF0092"/>
    <w:rsid w:val="4CD60F91"/>
    <w:rsid w:val="51937B70"/>
    <w:rsid w:val="522C70F0"/>
    <w:rsid w:val="62690064"/>
    <w:rsid w:val="6FE611FF"/>
    <w:rsid w:val="73E90B13"/>
    <w:rsid w:val="7AAE5AB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qFormat="1" w:unhideWhenUsed="0" w:uiPriority="99"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qFormat="1" w:unhideWhenUsed="0" w:uiPriority="99"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spacing w:line="360" w:lineRule="auto"/>
      <w:jc w:val="both"/>
      <w:textAlignment w:val="baseline"/>
    </w:pPr>
    <w:rPr>
      <w:rFonts w:ascii="Times New Roman" w:hAnsi="Times New Roman" w:eastAsia="楷体_GB2312" w:cs="Times New Roman"/>
      <w:kern w:val="2"/>
      <w:sz w:val="26"/>
      <w:lang w:val="en-US" w:eastAsia="zh-CN" w:bidi="ar-SA"/>
    </w:rPr>
  </w:style>
  <w:style w:type="character" w:default="1" w:styleId="6">
    <w:name w:val="Default Paragraph Font"/>
    <w:semiHidden/>
    <w:qFormat/>
    <w:uiPriority w:val="0"/>
  </w:style>
  <w:style w:type="table" w:default="1" w:styleId="5">
    <w:name w:val="Normal Table"/>
    <w:semiHidden/>
    <w:uiPriority w:val="0"/>
    <w:tblPr>
      <w:tblCellMar>
        <w:top w:w="0" w:type="dxa"/>
        <w:left w:w="108" w:type="dxa"/>
        <w:bottom w:w="0" w:type="dxa"/>
        <w:right w:w="108" w:type="dxa"/>
      </w:tblCellMar>
    </w:tblPr>
  </w:style>
  <w:style w:type="paragraph" w:styleId="2">
    <w:name w:val="Body Text First Indent 2"/>
    <w:basedOn w:val="3"/>
    <w:next w:val="1"/>
    <w:qFormat/>
    <w:uiPriority w:val="99"/>
    <w:pPr>
      <w:spacing w:line="240" w:lineRule="auto"/>
      <w:ind w:firstLine="200" w:firstLineChars="200"/>
    </w:pPr>
  </w:style>
  <w:style w:type="paragraph" w:styleId="3">
    <w:name w:val="Body Text Indent"/>
    <w:basedOn w:val="1"/>
    <w:next w:val="4"/>
    <w:qFormat/>
    <w:uiPriority w:val="99"/>
    <w:pPr>
      <w:spacing w:after="120"/>
      <w:ind w:left="420" w:leftChars="200"/>
    </w:pPr>
    <w:rPr>
      <w:rFonts w:eastAsia="宋体"/>
      <w:sz w:val="21"/>
      <w:szCs w:val="24"/>
    </w:rPr>
  </w:style>
  <w:style w:type="paragraph" w:styleId="4">
    <w:name w:val="envelope return"/>
    <w:basedOn w:val="1"/>
    <w:qFormat/>
    <w:uiPriority w:val="99"/>
    <w:pPr>
      <w:snapToGrid w:val="0"/>
    </w:pPr>
    <w:rPr>
      <w:rFonts w:ascii="Arial" w:hAnsi="Arial"/>
    </w:rPr>
  </w:style>
  <w:style w:type="character" w:customStyle="1" w:styleId="7">
    <w:name w:val="NormalCharacter"/>
    <w:qFormat/>
    <w:uiPriority w:val="99"/>
  </w:style>
  <w:style w:type="paragraph" w:customStyle="1" w:styleId="8">
    <w:name w:val="页眉1"/>
    <w:basedOn w:val="1"/>
    <w:qFormat/>
    <w:uiPriority w:val="99"/>
    <w:pPr>
      <w:pBdr>
        <w:bottom w:val="single" w:color="000000" w:sz="6" w:space="1"/>
      </w:pBdr>
      <w:tabs>
        <w:tab w:val="center" w:pos="4153"/>
        <w:tab w:val="right" w:pos="8306"/>
      </w:tabs>
      <w:snapToGrid w:val="0"/>
      <w:jc w:val="center"/>
    </w:pPr>
    <w:rPr>
      <w:sz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Office_11.8.2.11716_F1E327BC-269C-435d-A152-05C5408002CA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2022-11-27T15:19:00Z</dcterms:created>
  <dc:creator>L</dc:creator>
  <cp:lastModifiedBy>L</cp:lastModifiedBy>
  <dcterms:modified xsi:type="dcterms:W3CDTF">2022-12-01T01:53:51Z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2052-11.8.2.11716</vt:lpwstr>
  </property>
  <property fmtid="{D5CDD505-2E9C-101B-9397-08002B2CF9AE}" pid="3" name="ICV">
    <vt:lpwstr>2A9CC7DAB14149689B2FC4A47CC68DB0</vt:lpwstr>
  </property>
</Properties>
</file>