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5"/>
          <w:rFonts w:hint="default" w:ascii="宋体" w:hAnsi="宋体" w:eastAsia="宋体" w:cs="宋体"/>
          <w:b/>
          <w:color w:val="auto"/>
          <w:w w:val="80"/>
          <w:kern w:val="44"/>
          <w:sz w:val="32"/>
          <w:szCs w:val="32"/>
          <w:highlight w:val="none"/>
          <w:lang w:val="en-US" w:eastAsia="zh-CN"/>
        </w:rPr>
      </w:pPr>
      <w:bookmarkStart w:id="0" w:name="_GoBack"/>
      <w:bookmarkEnd w:id="0"/>
      <w:r>
        <w:rPr>
          <w:rStyle w:val="5"/>
          <w:rFonts w:hint="eastAsia" w:ascii="宋体" w:hAnsi="宋体" w:eastAsia="宋体" w:cs="宋体"/>
          <w:b/>
          <w:color w:val="auto"/>
          <w:w w:val="80"/>
          <w:kern w:val="44"/>
          <w:sz w:val="32"/>
          <w:szCs w:val="32"/>
          <w:highlight w:val="none"/>
          <w:lang w:eastAsia="zh-CN"/>
        </w:rPr>
        <w:t>南通市大数据发展集团有限公司招标代理服务机构</w:t>
      </w:r>
      <w:r>
        <w:rPr>
          <w:rStyle w:val="5"/>
          <w:rFonts w:hint="eastAsia" w:ascii="宋体" w:hAnsi="宋体" w:eastAsia="宋体" w:cs="宋体"/>
          <w:b/>
          <w:color w:val="auto"/>
          <w:w w:val="80"/>
          <w:kern w:val="44"/>
          <w:sz w:val="32"/>
          <w:szCs w:val="32"/>
          <w:highlight w:val="none"/>
        </w:rPr>
        <w:t>项目需求</w:t>
      </w:r>
      <w:r>
        <w:rPr>
          <w:rStyle w:val="5"/>
          <w:rFonts w:hint="eastAsia" w:ascii="宋体" w:hAnsi="宋体" w:eastAsia="宋体" w:cs="宋体"/>
          <w:b/>
          <w:color w:val="auto"/>
          <w:w w:val="80"/>
          <w:kern w:val="44"/>
          <w:sz w:val="32"/>
          <w:szCs w:val="32"/>
          <w:highlight w:val="none"/>
          <w:lang w:val="en-US" w:eastAsia="zh-CN"/>
        </w:rPr>
        <w:t>及评审评分项</w:t>
      </w:r>
    </w:p>
    <w:p>
      <w:pPr>
        <w:spacing w:line="560" w:lineRule="exact"/>
        <w:ind w:firstLine="482" w:firstLineChars="200"/>
        <w:jc w:val="center"/>
        <w:rPr>
          <w:rStyle w:val="5"/>
          <w:rFonts w:hint="eastAsia" w:ascii="宋体" w:hAnsi="宋体" w:eastAsia="宋体" w:cs="宋体"/>
          <w:b/>
          <w:color w:val="auto"/>
          <w:sz w:val="24"/>
          <w:szCs w:val="24"/>
          <w:highlight w:val="none"/>
          <w:lang w:val="en-US" w:eastAsia="zh-CN"/>
        </w:rPr>
      </w:pPr>
    </w:p>
    <w:p>
      <w:pPr>
        <w:spacing w:line="560" w:lineRule="exact"/>
        <w:ind w:firstLine="482" w:firstLineChars="200"/>
        <w:jc w:val="center"/>
        <w:rPr>
          <w:rStyle w:val="5"/>
          <w:rFonts w:hint="default" w:ascii="宋体" w:hAnsi="宋体" w:eastAsia="宋体" w:cs="宋体"/>
          <w:b/>
          <w:color w:val="auto"/>
          <w:sz w:val="24"/>
          <w:szCs w:val="24"/>
          <w:highlight w:val="none"/>
          <w:lang w:val="en-US" w:eastAsia="zh-CN"/>
        </w:rPr>
      </w:pPr>
      <w:r>
        <w:rPr>
          <w:rStyle w:val="5"/>
          <w:rFonts w:hint="eastAsia" w:ascii="宋体" w:hAnsi="宋体" w:eastAsia="宋体" w:cs="宋体"/>
          <w:b/>
          <w:color w:val="auto"/>
          <w:sz w:val="24"/>
          <w:szCs w:val="24"/>
          <w:highlight w:val="none"/>
          <w:lang w:val="en-US" w:eastAsia="zh-CN"/>
        </w:rPr>
        <w:t>第一部分项目需求</w:t>
      </w:r>
    </w:p>
    <w:p>
      <w:pPr>
        <w:spacing w:line="5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pPr>
        <w:spacing w:line="5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本项目采用公开招标方式选定一家招标代理机构，为南通市大数据发展集团有限公司提供招标代理服务。</w:t>
      </w:r>
    </w:p>
    <w:p>
      <w:pPr>
        <w:spacing w:line="5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二、服务内容：</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本项目招标代理服务的主要工作内容（包含但不限于）：</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提供招标代理等服务；</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的需求，拟定招标方案；</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的需求组织专家论证；</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编制招标文件，合理采纳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提出的修改意见，并对其合法性、准确性和严密性负责；</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的要求参加招标文件评审会；</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同意后，拟定招标公告及招标文件，负责在法律法规规定的媒体发布；</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负责组织标前答疑会或进行书面答疑。负责整理答疑资料，形成澄清文件并作为招标文件的组成部分并通知所有潜在供应商；</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委托，负责组织报名登记工作，组织接收投标申请人报名；</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依法组建评标委员会，抽取外部评标专家；</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委托，接收供应商的投标文件,组织并主持开标、评标活动；</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委托，编制中标（成交）公示材料，根据招标结果发放中标（成交）通知书；</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编制和提交招标投标情况的书面报告；</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协调解决招标实施过程中出现的问题；</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交办的其他事项；</w:t>
      </w:r>
    </w:p>
    <w:p>
      <w:pPr>
        <w:keepNext w:val="0"/>
        <w:keepLines w:val="0"/>
        <w:pageBreakBefore w:val="0"/>
        <w:widowControl/>
        <w:wordWrap/>
        <w:overflowPunct/>
        <w:bidi w:val="0"/>
        <w:adjustRightInd/>
        <w:spacing w:line="360" w:lineRule="auto"/>
        <w:ind w:firstLine="420" w:firstLineChars="200"/>
        <w:textAlignment w:val="auto"/>
        <w:outlineLvl w:val="2"/>
        <w:rPr>
          <w:rFonts w:hint="eastAsia" w:ascii="宋体" w:hAnsi="宋体" w:eastAsia="宋体" w:cs="宋体"/>
          <w:color w:val="auto"/>
          <w:sz w:val="21"/>
          <w:szCs w:val="21"/>
          <w:highlight w:val="none"/>
          <w:lang w:eastAsia="zh-CN"/>
        </w:rPr>
      </w:pPr>
    </w:p>
    <w:p>
      <w:pPr>
        <w:spacing w:line="5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三、合同主要条款：</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eastAsia="zh-CN"/>
        </w:rPr>
        <w:t>期限：</w:t>
      </w:r>
      <w:r>
        <w:rPr>
          <w:rFonts w:hint="eastAsia" w:ascii="宋体" w:hAnsi="宋体" w:eastAsia="宋体" w:cs="宋体"/>
          <w:color w:val="auto"/>
          <w:sz w:val="21"/>
          <w:szCs w:val="21"/>
          <w:highlight w:val="none"/>
          <w:lang w:val="en-US" w:eastAsia="zh-CN"/>
        </w:rPr>
        <w:t>自合同签订之日起至2023年12月31日</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.2根据投标文件</w:t>
      </w:r>
      <w:r>
        <w:rPr>
          <w:rFonts w:hint="eastAsia" w:ascii="宋体" w:hAnsi="宋体" w:eastAsia="宋体" w:cs="宋体"/>
          <w:color w:val="auto"/>
          <w:sz w:val="21"/>
          <w:szCs w:val="21"/>
          <w:highlight w:val="none"/>
        </w:rPr>
        <w:t>的约定派出具有服务资格的从业人员进行项目跟踪服务，服务时间需服从项目需要</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派出的服务人员须为项目组成员，具有良好的职业道德，工作程序和方法必须符合国家和地方的相关规定</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的要求对各项服务项目在分配任务后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个工作日内及时、合理制定</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案，并在项目结束后</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周内及时报送资料汇编</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在实施服务过程中如因不能及时提供资料导致招标工作不能顺利开展的，将接受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1000元/次的处罚</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办理相关单位的中标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通知书，如延误办理时间将接受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200元/天处罚</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应确保项目招标依法合规进行，如出现项目招投标投诉，应积极处理，如</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故意推诿，造成招标结果久拖不决，造成很坏影响或影响采购项目进展的，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有权扣除该项目服务费，同时不免除其继续履约的义务，造成严重后果的，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有权依法追究其经济及法律责任</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在其服务项目上故意徇私舞弊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排斥其他潜在供应商；故意降低或抬高入围门槛；为供应商提供或变相提供服务的；擅自透露不应该公开的信息或评标过程细节；为供应商提供或变相提供投诉材料；为供应商谋求不正当利益等，经查证属实，除该项目的服务费不予支付外，列入黑名单，并向主管部门反映违规情况，情节严重的移送司法机关处理</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安排的服务人员要遵守职业操守：①评标现场不得发表任何影响评标结果的言论；②评标现场不得发生任何影响评标结果的行为；上述两种情况每发生一次</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有权单方取消合同并拒付服务费用</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无视招标工作的公平、公正原则，有与供应商串通或其他第三人串通损坏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利益的等违法违规行为的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有权单方解除合同，并追究</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相关责任</w:t>
      </w:r>
      <w:r>
        <w:rPr>
          <w:rFonts w:hint="eastAsia" w:ascii="宋体" w:hAnsi="宋体" w:eastAsia="宋体" w:cs="宋体"/>
          <w:color w:val="auto"/>
          <w:sz w:val="21"/>
          <w:szCs w:val="21"/>
          <w:highlight w:val="none"/>
          <w:lang w:eastAsia="zh-CN"/>
        </w:rPr>
        <w:t>；</w:t>
      </w:r>
    </w:p>
    <w:p>
      <w:pPr>
        <w:widowControl/>
        <w:spacing w:line="600" w:lineRule="exact"/>
        <w:ind w:left="1"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无视招标工作的公平、公正原则，有与供应商串通或其他第三人串通损坏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利益的等违法违规行为的</w:t>
      </w:r>
      <w:r>
        <w:rPr>
          <w:rFonts w:hint="eastAsia" w:ascii="宋体" w:hAnsi="宋体" w:eastAsia="宋体" w:cs="宋体"/>
          <w:color w:val="auto"/>
          <w:sz w:val="21"/>
          <w:szCs w:val="21"/>
          <w:highlight w:val="none"/>
          <w:lang w:eastAsia="zh-CN"/>
        </w:rPr>
        <w:t>；</w:t>
      </w:r>
    </w:p>
    <w:p>
      <w:pPr>
        <w:widowControl/>
        <w:spacing w:line="600" w:lineRule="exact"/>
        <w:ind w:left="1" w:firstLine="422"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3.11 中标单位项目负责人不得更换，招标人单位所有采购项目均须由中标单位项目负责人直接对接，否则招标人有权单方面终止合同。</w:t>
      </w:r>
    </w:p>
    <w:p>
      <w:pPr>
        <w:spacing w:line="5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四、付款方式:</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单个项目完成招标代理后进行结算</w:t>
      </w:r>
    </w:p>
    <w:p>
      <w:pPr>
        <w:widowControl/>
        <w:spacing w:line="600" w:lineRule="exact"/>
        <w:ind w:left="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每次发起支付流程之前，</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提供对应金额符合</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要求的增值税专用发票并注明发票税率（服务6%，具体税率以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要求及国家的相关规定为准）。</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收到相应发票后5个工作日内发起支付流程，最终由财政支付。</w:t>
      </w:r>
    </w:p>
    <w:p>
      <w:pPr>
        <w:widowControl/>
        <w:numPr>
          <w:ilvl w:val="0"/>
          <w:numId w:val="0"/>
        </w:numPr>
        <w:spacing w:line="600" w:lineRule="exact"/>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其它约定</w:t>
      </w:r>
      <w:r>
        <w:rPr>
          <w:rFonts w:hint="eastAsia" w:ascii="宋体" w:hAnsi="宋体" w:eastAsia="宋体" w:cs="宋体"/>
          <w:b/>
          <w:bCs/>
          <w:color w:val="auto"/>
          <w:sz w:val="21"/>
          <w:szCs w:val="21"/>
          <w:highlight w:val="none"/>
          <w:lang w:eastAsia="zh-CN"/>
        </w:rPr>
        <w:t>：</w:t>
      </w:r>
    </w:p>
    <w:p>
      <w:pPr>
        <w:widowControl/>
        <w:numPr>
          <w:ilvl w:val="0"/>
          <w:numId w:val="0"/>
        </w:numPr>
        <w:spacing w:line="6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根据项目实际需要，通过技术质询、市场考察，进一步对</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履约情况进行核实和确认，如发现</w:t>
      </w:r>
      <w:r>
        <w:rPr>
          <w:rFonts w:hint="eastAsia" w:ascii="宋体" w:hAnsi="宋体" w:eastAsia="宋体" w:cs="宋体"/>
          <w:color w:val="auto"/>
          <w:sz w:val="21"/>
          <w:szCs w:val="21"/>
          <w:highlight w:val="none"/>
          <w:lang w:eastAsia="zh-CN"/>
        </w:rPr>
        <w:t>中标单位</w:t>
      </w:r>
      <w:r>
        <w:rPr>
          <w:rFonts w:hint="eastAsia" w:ascii="宋体" w:hAnsi="宋体" w:eastAsia="宋体" w:cs="宋体"/>
          <w:color w:val="auto"/>
          <w:sz w:val="21"/>
          <w:szCs w:val="21"/>
          <w:highlight w:val="none"/>
        </w:rPr>
        <w:t>有提供虚假资料或无法履约的情况，</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有权取消其</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资格或终止合同。</w:t>
      </w:r>
    </w:p>
    <w:p>
      <w:pPr>
        <w:widowControl/>
        <w:numPr>
          <w:ilvl w:val="0"/>
          <w:numId w:val="0"/>
        </w:numPr>
        <w:spacing w:line="600" w:lineRule="exact"/>
        <w:ind w:firstLine="420" w:firstLineChars="200"/>
        <w:jc w:val="left"/>
        <w:rPr>
          <w:rFonts w:hint="eastAsia"/>
          <w:color w:val="auto"/>
        </w:rPr>
      </w:pPr>
      <w:r>
        <w:rPr>
          <w:rFonts w:hint="eastAsia" w:ascii="宋体" w:hAnsi="宋体" w:eastAsia="宋体" w:cs="宋体"/>
          <w:color w:val="auto"/>
          <w:sz w:val="21"/>
          <w:szCs w:val="21"/>
          <w:highlight w:val="none"/>
        </w:rPr>
        <w:t>合同履行过程中，招标人有权无条件终止合同。</w:t>
      </w:r>
    </w:p>
    <w:p>
      <w:pPr>
        <w:rPr>
          <w:rStyle w:val="5"/>
          <w:rFonts w:hint="eastAsia" w:ascii="宋体" w:hAnsi="宋体" w:eastAsia="宋体" w:cs="宋体"/>
          <w:b/>
          <w:color w:val="auto"/>
          <w:sz w:val="24"/>
          <w:szCs w:val="24"/>
          <w:highlight w:val="none"/>
          <w:lang w:val="en-US" w:eastAsia="zh-CN"/>
        </w:rPr>
      </w:pPr>
      <w:r>
        <w:rPr>
          <w:rStyle w:val="5"/>
          <w:rFonts w:hint="eastAsia" w:ascii="宋体" w:hAnsi="宋体" w:eastAsia="宋体" w:cs="宋体"/>
          <w:b/>
          <w:color w:val="auto"/>
          <w:sz w:val="24"/>
          <w:szCs w:val="24"/>
          <w:highlight w:val="none"/>
          <w:lang w:val="en-US" w:eastAsia="zh-CN"/>
        </w:rPr>
        <w:br w:type="page"/>
      </w:r>
    </w:p>
    <w:p>
      <w:pPr>
        <w:spacing w:line="560" w:lineRule="exact"/>
        <w:ind w:firstLine="482" w:firstLineChars="200"/>
        <w:jc w:val="center"/>
        <w:rPr>
          <w:rStyle w:val="5"/>
          <w:rFonts w:hint="eastAsia" w:ascii="宋体" w:hAnsi="宋体" w:eastAsia="宋体" w:cs="宋体"/>
          <w:b/>
          <w:color w:val="auto"/>
          <w:sz w:val="24"/>
          <w:szCs w:val="24"/>
          <w:highlight w:val="none"/>
        </w:rPr>
      </w:pPr>
      <w:r>
        <w:rPr>
          <w:rStyle w:val="5"/>
          <w:rFonts w:hint="eastAsia" w:ascii="宋体" w:hAnsi="宋体" w:eastAsia="宋体" w:cs="宋体"/>
          <w:b/>
          <w:color w:val="auto"/>
          <w:sz w:val="24"/>
          <w:szCs w:val="24"/>
          <w:highlight w:val="none"/>
          <w:lang w:val="en-US" w:eastAsia="zh-CN"/>
        </w:rPr>
        <w:t xml:space="preserve">第二部分 </w:t>
      </w:r>
      <w:r>
        <w:rPr>
          <w:rStyle w:val="5"/>
          <w:rFonts w:hint="eastAsia" w:ascii="宋体" w:hAnsi="宋体" w:eastAsia="宋体" w:cs="宋体"/>
          <w:b/>
          <w:color w:val="auto"/>
          <w:sz w:val="24"/>
          <w:szCs w:val="24"/>
          <w:highlight w:val="none"/>
        </w:rPr>
        <w:t>评审评分项</w:t>
      </w:r>
    </w:p>
    <w:p>
      <w:pPr>
        <w:snapToGrid w:val="0"/>
        <w:ind w:firstLine="487" w:firstLineChars="202"/>
        <w:rPr>
          <w:rStyle w:val="5"/>
          <w:rFonts w:hint="eastAsia" w:ascii="宋体" w:hAnsi="宋体" w:eastAsia="宋体" w:cs="宋体"/>
          <w:b/>
          <w:color w:val="auto"/>
          <w:sz w:val="24"/>
          <w:szCs w:val="24"/>
          <w:highlight w:val="none"/>
        </w:rPr>
      </w:pPr>
      <w:r>
        <w:rPr>
          <w:rStyle w:val="5"/>
          <w:rFonts w:hint="eastAsia" w:ascii="宋体" w:hAnsi="宋体" w:eastAsia="宋体" w:cs="宋体"/>
          <w:b/>
          <w:color w:val="auto"/>
          <w:sz w:val="24"/>
          <w:szCs w:val="24"/>
          <w:highlight w:val="none"/>
        </w:rPr>
        <w:t>（一）技术分：（</w:t>
      </w:r>
      <w:r>
        <w:rPr>
          <w:rStyle w:val="5"/>
          <w:rFonts w:hint="eastAsia" w:ascii="宋体" w:hAnsi="宋体" w:eastAsia="宋体" w:cs="宋体"/>
          <w:b/>
          <w:color w:val="auto"/>
          <w:sz w:val="24"/>
          <w:szCs w:val="24"/>
          <w:highlight w:val="none"/>
          <w:lang w:val="en-US" w:eastAsia="zh-CN"/>
        </w:rPr>
        <w:t>9</w:t>
      </w:r>
      <w:r>
        <w:rPr>
          <w:rStyle w:val="5"/>
          <w:rFonts w:hint="eastAsia" w:ascii="宋体" w:hAnsi="宋体" w:eastAsia="宋体" w:cs="宋体"/>
          <w:b/>
          <w:color w:val="auto"/>
          <w:sz w:val="24"/>
          <w:szCs w:val="24"/>
          <w:highlight w:val="none"/>
        </w:rPr>
        <w:t>0分）</w:t>
      </w:r>
    </w:p>
    <w:tbl>
      <w:tblPr>
        <w:tblStyle w:val="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581"/>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43" w:hRule="atLeast"/>
          <w:jc w:val="center"/>
        </w:trPr>
        <w:tc>
          <w:tcPr>
            <w:tcW w:w="1581" w:type="dxa"/>
            <w:noWrap/>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w:t>
            </w:r>
          </w:p>
        </w:tc>
        <w:tc>
          <w:tcPr>
            <w:tcW w:w="6819" w:type="dxa"/>
            <w:noWrap/>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2" w:hRule="atLeast"/>
          <w:jc w:val="center"/>
        </w:trPr>
        <w:tc>
          <w:tcPr>
            <w:tcW w:w="1581" w:type="dxa"/>
            <w:noWrap/>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拟派项目负责人资历</w:t>
            </w:r>
          </w:p>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819" w:type="dxa"/>
            <w:noWrap/>
            <w:vAlign w:val="center"/>
          </w:tcPr>
          <w:p>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项目负责人具有丰富的国有企业及政府采购招标工作经验，从事国有企业及政府采购招标工作5年（不含5年）-10年（含10年）的，根据佐证材料的充分性得5-10分；从事国有企业及政府采购招标工作10年以上（不含10年）的，根据佐证材料的完整性得11-20分。 </w:t>
            </w:r>
          </w:p>
          <w:p>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（提供公共资源交易网站截图或业主证明文件等材料佐证，所提供的材料由评委判定不能证明项目负责人工作经验的，不得分）。</w:t>
            </w:r>
          </w:p>
          <w:p>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u w:val="single"/>
                <w:lang w:val="en-US" w:eastAsia="zh-CN"/>
              </w:rPr>
              <w:t>中标后，项目负责人不得更换，招标人单位所有采购项目均须由中标单位承诺的项目负责人直接对接。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0" w:hRule="atLeast"/>
          <w:jc w:val="center"/>
        </w:trPr>
        <w:tc>
          <w:tcPr>
            <w:tcW w:w="1581" w:type="dxa"/>
            <w:noWrap/>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6819" w:type="dxa"/>
            <w:noWrap/>
            <w:vAlign w:val="center"/>
          </w:tcPr>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投标单位自</w:t>
            </w:r>
            <w:r>
              <w:rPr>
                <w:rFonts w:hint="eastAsia" w:ascii="宋体" w:hAnsi="宋体" w:eastAsia="宋体" w:cs="宋体"/>
                <w:color w:val="auto"/>
                <w:kern w:val="0"/>
                <w:sz w:val="21"/>
                <w:szCs w:val="21"/>
                <w:highlight w:val="none"/>
              </w:rPr>
              <w:t>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月1日以来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以合同签订时间为准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承接的在服务期内的市级及以上</w:t>
            </w:r>
            <w:r>
              <w:rPr>
                <w:rFonts w:hint="eastAsia" w:ascii="宋体" w:hAnsi="宋体" w:eastAsia="宋体" w:cs="宋体"/>
                <w:color w:val="auto"/>
                <w:sz w:val="21"/>
                <w:szCs w:val="21"/>
                <w:highlight w:val="none"/>
              </w:rPr>
              <w:t>采购类</w:t>
            </w:r>
            <w:r>
              <w:rPr>
                <w:rFonts w:hint="eastAsia" w:ascii="宋体" w:hAnsi="宋体" w:eastAsia="宋体" w:cs="宋体"/>
                <w:color w:val="auto"/>
                <w:sz w:val="21"/>
                <w:szCs w:val="21"/>
                <w:highlight w:val="none"/>
                <w:lang w:val="en-US" w:eastAsia="zh-CN"/>
              </w:rPr>
              <w:t>年度招标代理合同（服务期至少一年）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有一个得5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分（提供</w:t>
            </w:r>
            <w:r>
              <w:rPr>
                <w:rFonts w:hint="eastAsia" w:ascii="宋体" w:hAnsi="宋体" w:eastAsia="宋体" w:cs="宋体"/>
                <w:color w:val="auto"/>
                <w:sz w:val="21"/>
                <w:szCs w:val="21"/>
                <w:highlight w:val="none"/>
                <w:lang w:val="en-US" w:eastAsia="zh-CN"/>
              </w:rPr>
              <w:t>合同复印件及与合同对应的一份发票复印件佐证，同一个业主单位的多份合同只计算一次得分，不在服务期内的合同不得分，非采购类年度合同不得分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0" w:hRule="atLeast"/>
          <w:jc w:val="center"/>
        </w:trPr>
        <w:tc>
          <w:tcPr>
            <w:tcW w:w="1581" w:type="dxa"/>
            <w:noWrap/>
            <w:vAlign w:val="center"/>
          </w:tcPr>
          <w:p>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市级考核</w:t>
            </w:r>
          </w:p>
          <w:p>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c>
          <w:tcPr>
            <w:tcW w:w="6819" w:type="dxa"/>
            <w:noWrap/>
            <w:vAlign w:val="center"/>
          </w:tcPr>
          <w:p>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投标单位自2020年以来，在市级及以上政府采购网公示的市级</w:t>
            </w:r>
            <w:r>
              <w:rPr>
                <w:rFonts w:hint="eastAsia" w:ascii="宋体" w:hAnsi="宋体" w:eastAsia="宋体" w:cs="宋体"/>
                <w:color w:val="auto"/>
                <w:kern w:val="0"/>
                <w:sz w:val="21"/>
                <w:szCs w:val="21"/>
                <w:highlight w:val="none"/>
              </w:rPr>
              <w:t>政府采购代理机构考核记分结果通</w:t>
            </w:r>
            <w:r>
              <w:rPr>
                <w:rFonts w:hint="eastAsia" w:ascii="宋体" w:hAnsi="宋体" w:eastAsia="宋体" w:cs="宋体"/>
                <w:color w:val="auto"/>
                <w:kern w:val="0"/>
                <w:sz w:val="21"/>
                <w:szCs w:val="21"/>
                <w:highlight w:val="none"/>
                <w:lang w:val="en-US" w:eastAsia="zh-CN"/>
              </w:rPr>
              <w:t>告中，未有扣分，得10分。提供承诺函，格式自拟。投标单位名单至少在2022年度公布的考核名单中，否则本项不得分。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7" w:hRule="atLeast"/>
          <w:jc w:val="center"/>
        </w:trPr>
        <w:tc>
          <w:tcPr>
            <w:tcW w:w="1581" w:type="dxa"/>
            <w:vMerge w:val="restart"/>
            <w:noWrap/>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w:t>
            </w:r>
          </w:p>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819" w:type="dxa"/>
            <w:noWrap/>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①项目组的组织形式、人员配备计划及人员岗位职责；3</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＜优≤5分，1分＜良≤3分，0分≤一般≤1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40" w:hRule="atLeast"/>
          <w:jc w:val="center"/>
        </w:trPr>
        <w:tc>
          <w:tcPr>
            <w:tcW w:w="1581" w:type="dxa"/>
            <w:vMerge w:val="continue"/>
            <w:noWrap/>
            <w:vAlign w:val="center"/>
          </w:tcPr>
          <w:p>
            <w:pPr>
              <w:widowControl/>
              <w:spacing w:line="360" w:lineRule="auto"/>
              <w:jc w:val="left"/>
              <w:rPr>
                <w:rFonts w:hint="eastAsia" w:ascii="宋体" w:hAnsi="宋体" w:eastAsia="宋体" w:cs="宋体"/>
                <w:color w:val="auto"/>
                <w:kern w:val="0"/>
                <w:sz w:val="21"/>
                <w:szCs w:val="21"/>
                <w:highlight w:val="none"/>
              </w:rPr>
            </w:pPr>
          </w:p>
        </w:tc>
        <w:tc>
          <w:tcPr>
            <w:tcW w:w="6819" w:type="dxa"/>
            <w:noWrap/>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②采购项目工作程序、工作方法及措施、工作制度；3</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＜优≤5分，1分＜良≤3分，0分≤一般≤1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04" w:hRule="atLeast"/>
          <w:jc w:val="center"/>
        </w:trPr>
        <w:tc>
          <w:tcPr>
            <w:tcW w:w="1581" w:type="dxa"/>
            <w:vMerge w:val="continue"/>
            <w:noWrap/>
            <w:vAlign w:val="center"/>
          </w:tcPr>
          <w:p>
            <w:pPr>
              <w:widowControl/>
              <w:spacing w:line="360" w:lineRule="auto"/>
              <w:jc w:val="left"/>
              <w:rPr>
                <w:rFonts w:hint="eastAsia" w:ascii="宋体" w:hAnsi="宋体" w:eastAsia="宋体" w:cs="宋体"/>
                <w:color w:val="auto"/>
                <w:kern w:val="0"/>
                <w:sz w:val="21"/>
                <w:szCs w:val="21"/>
                <w:highlight w:val="none"/>
              </w:rPr>
            </w:pPr>
          </w:p>
        </w:tc>
        <w:tc>
          <w:tcPr>
            <w:tcW w:w="6819" w:type="dxa"/>
            <w:noWrap/>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③对采购招标代理控制特点、难点、关键点的认识，以及实施进程中如何对关键点进行控制等。3</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＜优≤5分，1分＜良≤3分，0分≤一般≤1</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513" w:hRule="atLeast"/>
          <w:jc w:val="center"/>
        </w:trPr>
        <w:tc>
          <w:tcPr>
            <w:tcW w:w="1581" w:type="dxa"/>
            <w:vMerge w:val="continue"/>
            <w:noWrap/>
            <w:vAlign w:val="center"/>
          </w:tcPr>
          <w:p>
            <w:pPr>
              <w:widowControl/>
              <w:spacing w:line="360" w:lineRule="auto"/>
              <w:jc w:val="left"/>
              <w:rPr>
                <w:rFonts w:hint="eastAsia" w:ascii="宋体" w:hAnsi="宋体" w:eastAsia="宋体" w:cs="宋体"/>
                <w:color w:val="auto"/>
                <w:kern w:val="0"/>
                <w:sz w:val="21"/>
                <w:szCs w:val="21"/>
                <w:highlight w:val="none"/>
              </w:rPr>
            </w:pPr>
          </w:p>
        </w:tc>
        <w:tc>
          <w:tcPr>
            <w:tcW w:w="6819" w:type="dxa"/>
            <w:noWrap/>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 4 \* GB3 \* MERGEFORMAT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投标单位须具备快速响应能力，接招标人临时会议通知，须在2小时内到达招标人办公地点。提供有效的承诺书和最快应急响应时效的证明材料得5分。</w:t>
            </w:r>
            <w:r>
              <w:rPr>
                <w:rFonts w:hint="eastAsia" w:ascii="宋体" w:hAnsi="宋体" w:eastAsia="宋体" w:cs="宋体"/>
                <w:color w:val="auto"/>
                <w:kern w:val="0"/>
                <w:sz w:val="21"/>
                <w:szCs w:val="21"/>
                <w:highlight w:val="none"/>
                <w:lang w:val="en-US" w:eastAsia="zh-CN"/>
              </w:rPr>
              <w:t>所提供的材料由评委判定不能证明最快应急响应时效证明的，不得分。</w:t>
            </w:r>
          </w:p>
        </w:tc>
      </w:tr>
    </w:tbl>
    <w:p>
      <w:pPr>
        <w:snapToGrid w:val="0"/>
        <w:ind w:firstLine="487" w:firstLineChars="202"/>
        <w:rPr>
          <w:rStyle w:val="5"/>
          <w:rFonts w:hint="eastAsia" w:ascii="宋体" w:hAnsi="宋体" w:eastAsia="宋体" w:cs="宋体"/>
          <w:b/>
          <w:color w:val="auto"/>
          <w:sz w:val="24"/>
          <w:szCs w:val="24"/>
          <w:highlight w:val="none"/>
        </w:rPr>
      </w:pPr>
    </w:p>
    <w:p>
      <w:pPr>
        <w:snapToGrid w:val="0"/>
        <w:ind w:firstLine="487" w:firstLineChars="202"/>
        <w:rPr>
          <w:rStyle w:val="5"/>
          <w:rFonts w:hint="eastAsia" w:ascii="宋体" w:hAnsi="宋体" w:eastAsia="宋体" w:cs="宋体"/>
          <w:b/>
          <w:color w:val="auto"/>
          <w:sz w:val="24"/>
          <w:szCs w:val="24"/>
          <w:highlight w:val="none"/>
        </w:rPr>
      </w:pPr>
      <w:r>
        <w:rPr>
          <w:rStyle w:val="5"/>
          <w:rFonts w:hint="eastAsia" w:ascii="宋体" w:hAnsi="宋体" w:eastAsia="宋体" w:cs="宋体"/>
          <w:b/>
          <w:color w:val="auto"/>
          <w:sz w:val="24"/>
          <w:szCs w:val="24"/>
          <w:highlight w:val="none"/>
        </w:rPr>
        <w:t>（二）商务报价响应评分：（</w:t>
      </w:r>
      <w:r>
        <w:rPr>
          <w:rStyle w:val="5"/>
          <w:rFonts w:hint="eastAsia" w:ascii="宋体" w:hAnsi="宋体" w:eastAsia="宋体" w:cs="宋体"/>
          <w:b/>
          <w:color w:val="auto"/>
          <w:sz w:val="24"/>
          <w:szCs w:val="24"/>
          <w:highlight w:val="none"/>
          <w:lang w:val="en-US" w:eastAsia="zh-CN"/>
        </w:rPr>
        <w:t>1</w:t>
      </w:r>
      <w:r>
        <w:rPr>
          <w:rStyle w:val="5"/>
          <w:rFonts w:hint="eastAsia" w:ascii="宋体" w:hAnsi="宋体" w:eastAsia="宋体" w:cs="宋体"/>
          <w:b/>
          <w:color w:val="auto"/>
          <w:sz w:val="24"/>
          <w:szCs w:val="24"/>
          <w:highlight w:val="none"/>
        </w:rPr>
        <w:t>0分）</w:t>
      </w:r>
    </w:p>
    <w:p>
      <w:pPr>
        <w:snapToGrid w:val="0"/>
        <w:ind w:firstLine="487" w:firstLineChars="202"/>
        <w:rPr>
          <w:rStyle w:val="5"/>
          <w:rFonts w:hint="eastAsia" w:ascii="宋体" w:hAnsi="宋体" w:eastAsia="宋体" w:cs="宋体"/>
          <w:b/>
          <w:bCs/>
          <w:color w:val="auto"/>
          <w:sz w:val="24"/>
          <w:szCs w:val="24"/>
          <w:highlight w:val="none"/>
          <w:lang w:val="en-US" w:eastAsia="zh-CN"/>
        </w:rPr>
      </w:pPr>
      <w:r>
        <w:rPr>
          <w:rStyle w:val="5"/>
          <w:rFonts w:hint="eastAsia" w:ascii="宋体" w:hAnsi="宋体" w:eastAsia="宋体" w:cs="宋体"/>
          <w:b/>
          <w:bCs/>
          <w:color w:val="auto"/>
          <w:sz w:val="24"/>
          <w:szCs w:val="24"/>
          <w:highlight w:val="none"/>
        </w:rPr>
        <w:t>1.本项目</w:t>
      </w:r>
      <w:r>
        <w:rPr>
          <w:rStyle w:val="5"/>
          <w:rFonts w:hint="eastAsia" w:ascii="宋体" w:hAnsi="宋体" w:eastAsia="宋体" w:cs="宋体"/>
          <w:b/>
          <w:bCs/>
          <w:color w:val="auto"/>
          <w:sz w:val="24"/>
          <w:szCs w:val="24"/>
          <w:highlight w:val="none"/>
          <w:lang w:val="en-US" w:eastAsia="zh-CN"/>
        </w:rPr>
        <w:t>最高限价为2‰，投标报价高于最高限价的作为无效标处理。</w:t>
      </w:r>
    </w:p>
    <w:p>
      <w:pPr>
        <w:snapToGrid w:val="0"/>
        <w:ind w:firstLine="484" w:firstLineChars="202"/>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rPr>
        <w:t>2.满足招标文件要求且投标报价最低的报价为评标基准价，其商务报价响应得分为满分。</w:t>
      </w:r>
    </w:p>
    <w:p>
      <w:pPr>
        <w:snapToGrid w:val="0"/>
        <w:ind w:firstLine="484" w:firstLineChars="202"/>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rPr>
        <w:t>3.其他投标供应商的商务报价响应得分分别按照下列公式计算：</w:t>
      </w:r>
    </w:p>
    <w:p>
      <w:pPr>
        <w:snapToGrid w:val="0"/>
        <w:ind w:firstLine="484" w:firstLineChars="202"/>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rPr>
        <w:t>商务报价响应得分 =（评标基准价/投标报价）×</w:t>
      </w:r>
      <w:r>
        <w:rPr>
          <w:rStyle w:val="5"/>
          <w:rFonts w:hint="eastAsia" w:ascii="宋体" w:hAnsi="宋体" w:eastAsia="宋体" w:cs="宋体"/>
          <w:color w:val="auto"/>
          <w:sz w:val="24"/>
          <w:szCs w:val="24"/>
          <w:highlight w:val="none"/>
          <w:lang w:val="en-US" w:eastAsia="zh-CN"/>
        </w:rPr>
        <w:t>1</w:t>
      </w:r>
      <w:r>
        <w:rPr>
          <w:rStyle w:val="5"/>
          <w:rFonts w:hint="eastAsia" w:ascii="宋体" w:hAnsi="宋体" w:eastAsia="宋体" w:cs="宋体"/>
          <w:color w:val="auto"/>
          <w:sz w:val="24"/>
          <w:szCs w:val="24"/>
          <w:highlight w:val="none"/>
        </w:rPr>
        <w:t>0%×100</w:t>
      </w:r>
    </w:p>
    <w:p>
      <w:pPr>
        <w:snapToGrid w:val="0"/>
        <w:ind w:firstLine="487" w:firstLineChars="202"/>
        <w:rPr>
          <w:rStyle w:val="5"/>
          <w:rFonts w:hint="eastAsia" w:ascii="宋体" w:hAnsi="宋体" w:eastAsia="宋体" w:cs="宋体"/>
          <w:b/>
          <w:bCs/>
          <w:color w:val="auto"/>
          <w:sz w:val="24"/>
          <w:szCs w:val="24"/>
          <w:highlight w:val="none"/>
          <w:u w:val="single"/>
          <w:lang w:val="en-US" w:eastAsia="zh-CN"/>
        </w:rPr>
      </w:pPr>
      <w:r>
        <w:rPr>
          <w:rStyle w:val="5"/>
          <w:rFonts w:hint="eastAsia" w:ascii="宋体" w:hAnsi="宋体" w:eastAsia="宋体" w:cs="宋体"/>
          <w:b/>
          <w:bCs/>
          <w:color w:val="auto"/>
          <w:sz w:val="24"/>
          <w:szCs w:val="24"/>
          <w:highlight w:val="none"/>
          <w:u w:val="single"/>
          <w:lang w:val="en-US" w:eastAsia="zh-CN"/>
        </w:rPr>
        <w:t>4.报价不得为零，不得为负数，否则做无效标处理。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F4BAD"/>
    <w:rsid w:val="184E6C52"/>
    <w:rsid w:val="2418219D"/>
    <w:rsid w:val="2A790643"/>
    <w:rsid w:val="37FF0092"/>
    <w:rsid w:val="6F0F4BAD"/>
    <w:rsid w:val="73E9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qFormat/>
    <w:uiPriority w:val="0"/>
    <w:pPr>
      <w:ind w:firstLine="480" w:firstLineChars="200"/>
    </w:pPr>
    <w:rPr>
      <w:lang w:val="zh-CN"/>
    </w:rPr>
  </w:style>
  <w:style w:type="character" w:customStyle="1" w:styleId="5">
    <w:name w:val="NormalCharacter"/>
    <w:qFormat/>
    <w:uiPriority w:val="99"/>
  </w:style>
  <w:style w:type="paragraph" w:customStyle="1" w:styleId="6">
    <w:name w:val="页眉1"/>
    <w:basedOn w:val="1"/>
    <w:qFormat/>
    <w:uiPriority w:val="99"/>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2022-11-01T13:22:00Z</dcterms:created>
  <dc:creator>L</dc:creator>
  <cp:lastModifiedBy>USER</cp:lastModifiedBy>
  <dcterms:modified xsi:type="dcterms:W3CDTF">2022-11-02T08:52:40Z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E3FF36F0DD8847689C25E2BFACD1775A</vt:lpwstr>
  </property>
</Properties>
</file>