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b/>
          <w:sz w:val="28"/>
          <w:szCs w:val="28"/>
        </w:rPr>
      </w:pPr>
      <w:bookmarkStart w:id="5" w:name="_GoBack"/>
      <w:bookmarkEnd w:id="5"/>
    </w:p>
    <w:p>
      <w:pPr>
        <w:spacing w:line="360" w:lineRule="auto"/>
        <w:jc w:val="center"/>
        <w:rPr>
          <w:rFonts w:ascii="华文中宋" w:hAnsi="华文中宋" w:eastAsia="华文中宋" w:cs="Times New Roman"/>
          <w:b/>
          <w:sz w:val="44"/>
          <w:szCs w:val="44"/>
        </w:rPr>
      </w:pPr>
      <w:r>
        <w:rPr>
          <w:rFonts w:hint="eastAsia" w:ascii="华文中宋" w:hAnsi="华文中宋" w:eastAsia="华文中宋" w:cs="Times New Roman"/>
          <w:b/>
          <w:sz w:val="44"/>
          <w:szCs w:val="44"/>
        </w:rPr>
        <w:t>南通市文化广电和旅游局指挥中心显示硬件及会议系统建设项目</w:t>
      </w: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autoSpaceDE w:val="0"/>
        <w:autoSpaceDN w:val="0"/>
        <w:adjustRightInd w:val="0"/>
        <w:jc w:val="center"/>
        <w:rPr>
          <w:rFonts w:ascii="华文中宋" w:hAnsi="华文中宋" w:eastAsia="华文中宋" w:cs="仿宋"/>
          <w:b/>
          <w:bCs/>
          <w:sz w:val="84"/>
          <w:szCs w:val="84"/>
        </w:rPr>
      </w:pPr>
      <w:r>
        <w:rPr>
          <w:rFonts w:hint="eastAsia" w:ascii="华文中宋" w:hAnsi="华文中宋" w:eastAsia="华文中宋" w:cs="仿宋"/>
          <w:b/>
          <w:bCs/>
          <w:sz w:val="84"/>
          <w:szCs w:val="84"/>
          <w:lang w:val="zh-CN"/>
        </w:rPr>
        <w:t>竞争性</w:t>
      </w:r>
    </w:p>
    <w:p>
      <w:pPr>
        <w:autoSpaceDE w:val="0"/>
        <w:autoSpaceDN w:val="0"/>
        <w:adjustRightInd w:val="0"/>
        <w:jc w:val="center"/>
        <w:rPr>
          <w:rFonts w:ascii="华文中宋" w:hAnsi="华文中宋" w:eastAsia="华文中宋" w:cs="仿宋"/>
          <w:b/>
          <w:bCs/>
          <w:sz w:val="84"/>
          <w:szCs w:val="84"/>
          <w:lang w:val="zh-CN"/>
        </w:rPr>
      </w:pPr>
      <w:r>
        <w:rPr>
          <w:rFonts w:hint="eastAsia" w:ascii="华文中宋" w:hAnsi="华文中宋" w:eastAsia="华文中宋" w:cs="仿宋"/>
          <w:b/>
          <w:bCs/>
          <w:sz w:val="84"/>
          <w:szCs w:val="84"/>
          <w:lang w:val="zh-CN"/>
        </w:rPr>
        <w:t>磋商文件</w:t>
      </w:r>
    </w:p>
    <w:p>
      <w:pPr>
        <w:spacing w:line="360" w:lineRule="auto"/>
        <w:jc w:val="center"/>
        <w:rPr>
          <w:rFonts w:ascii="仿宋" w:hAnsi="仿宋" w:eastAsia="仿宋" w:cs="仿宋"/>
          <w:b/>
          <w:sz w:val="28"/>
          <w:szCs w:val="28"/>
        </w:rPr>
      </w:pPr>
    </w:p>
    <w:p>
      <w:pPr>
        <w:keepNext/>
        <w:keepLines/>
        <w:autoSpaceDE w:val="0"/>
        <w:autoSpaceDN w:val="0"/>
        <w:adjustRightInd w:val="0"/>
        <w:spacing w:line="360" w:lineRule="auto"/>
        <w:ind w:right="210"/>
        <w:jc w:val="center"/>
        <w:outlineLvl w:val="0"/>
        <w:rPr>
          <w:rFonts w:ascii="华文中宋" w:hAnsi="华文中宋" w:eastAsia="华文中宋" w:cs="仿宋"/>
          <w:b/>
          <w:sz w:val="36"/>
          <w:szCs w:val="44"/>
        </w:rPr>
      </w:pPr>
      <w:r>
        <w:rPr>
          <w:rFonts w:hint="eastAsia" w:ascii="华文中宋" w:hAnsi="华文中宋" w:eastAsia="华文中宋" w:cs="仿宋"/>
          <w:b/>
          <w:sz w:val="36"/>
          <w:szCs w:val="44"/>
        </w:rPr>
        <w:t>JSHL-DL-2020（CS69）</w:t>
      </w:r>
    </w:p>
    <w:p>
      <w:pPr>
        <w:autoSpaceDE w:val="0"/>
        <w:autoSpaceDN w:val="0"/>
        <w:adjustRightInd w:val="0"/>
        <w:jc w:val="center"/>
        <w:rPr>
          <w:rFonts w:ascii="仿宋" w:hAnsi="仿宋" w:eastAsia="仿宋" w:cs="仿宋"/>
          <w:szCs w:val="21"/>
        </w:rPr>
      </w:pPr>
      <w:r>
        <w:rPr>
          <w:rFonts w:ascii="仿宋" w:hAnsi="仿宋" w:eastAsia="仿宋" w:cs="仿宋"/>
          <w:kern w:val="0"/>
          <w:sz w:val="20"/>
          <w:szCs w:val="20"/>
          <w:lang w:val="zh-CN"/>
        </w:rPr>
        <w:object>
          <v:shape id="_x0000_i1025" o:spt="75" type="#_x0000_t75" style="height:128pt;width:166pt;" o:ole="t" filled="f" o:preferrelative="t" stroked="f" coordsize="21600,21600">
            <v:path/>
            <v:fill on="f" focussize="0,0"/>
            <v:stroke on="f" joinstyle="miter"/>
            <v:imagedata r:id="rId6" o:title=""/>
            <o:lock v:ext="edit" aspectratio="t"/>
            <w10:wrap type="none"/>
            <w10:anchorlock/>
          </v:shape>
          <o:OLEObject Type="Embed" ProgID="MS_ClipArt_Gallery.5" ShapeID="_x0000_i1025" DrawAspect="Content" ObjectID="_1468075725" r:id="rId5">
            <o:LockedField>false</o:LockedField>
          </o:OLEObject>
        </w:object>
      </w:r>
    </w:p>
    <w:p>
      <w:pPr>
        <w:spacing w:line="360" w:lineRule="auto"/>
        <w:jc w:val="center"/>
        <w:rPr>
          <w:rFonts w:ascii="仿宋" w:hAnsi="仿宋" w:eastAsia="仿宋" w:cs="仿宋"/>
          <w:b/>
          <w:sz w:val="28"/>
          <w:szCs w:val="28"/>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86" w:type="dxa"/>
            <w:tcBorders>
              <w:tl2br w:val="nil"/>
              <w:tr2bl w:val="nil"/>
            </w:tcBorders>
          </w:tcPr>
          <w:p>
            <w:pPr>
              <w:spacing w:line="560" w:lineRule="exact"/>
              <w:jc w:val="center"/>
              <w:rPr>
                <w:rFonts w:ascii="华文中宋" w:hAnsi="华文中宋" w:eastAsia="华文中宋" w:cs="仿宋"/>
                <w:b/>
                <w:spacing w:val="20"/>
                <w:kern w:val="0"/>
                <w:sz w:val="28"/>
                <w:szCs w:val="28"/>
              </w:rPr>
            </w:pPr>
            <w:r>
              <w:rPr>
                <w:rFonts w:hint="eastAsia" w:ascii="华文中宋" w:hAnsi="华文中宋" w:eastAsia="华文中宋" w:cs="仿宋"/>
                <w:b/>
                <w:spacing w:val="20"/>
                <w:kern w:val="0"/>
                <w:sz w:val="28"/>
                <w:szCs w:val="28"/>
              </w:rPr>
              <w:t>南通文旅科技有限公司</w:t>
            </w:r>
          </w:p>
        </w:tc>
        <w:tc>
          <w:tcPr>
            <w:tcW w:w="992" w:type="dxa"/>
            <w:vMerge w:val="restart"/>
            <w:tcBorders>
              <w:tl2br w:val="nil"/>
              <w:tr2bl w:val="nil"/>
            </w:tcBorders>
            <w:vAlign w:val="center"/>
          </w:tcPr>
          <w:p>
            <w:pPr>
              <w:spacing w:line="560" w:lineRule="exact"/>
              <w:rPr>
                <w:rFonts w:ascii="华文中宋" w:hAnsi="华文中宋" w:eastAsia="华文中宋" w:cs="仿宋"/>
                <w:b/>
                <w:spacing w:val="20"/>
                <w:kern w:val="0"/>
                <w:sz w:val="28"/>
                <w:szCs w:val="28"/>
              </w:rPr>
            </w:pPr>
            <w:r>
              <w:rPr>
                <w:rFonts w:hint="eastAsia" w:ascii="华文中宋" w:hAnsi="华文中宋" w:eastAsia="华文中宋" w:cs="仿宋"/>
                <w:b/>
                <w:spacing w:val="20"/>
                <w:kern w:val="0"/>
                <w:sz w:val="28"/>
                <w:szCs w:val="28"/>
              </w:rPr>
              <w:t>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786" w:type="dxa"/>
            <w:tcBorders>
              <w:tl2br w:val="nil"/>
              <w:tr2bl w:val="nil"/>
            </w:tcBorders>
          </w:tcPr>
          <w:p>
            <w:pPr>
              <w:spacing w:line="560" w:lineRule="exact"/>
              <w:jc w:val="center"/>
              <w:rPr>
                <w:rFonts w:ascii="华文中宋" w:hAnsi="华文中宋" w:eastAsia="华文中宋" w:cs="仿宋"/>
                <w:b/>
                <w:spacing w:val="20"/>
                <w:kern w:val="0"/>
                <w:sz w:val="28"/>
                <w:szCs w:val="28"/>
              </w:rPr>
            </w:pPr>
            <w:r>
              <w:rPr>
                <w:rFonts w:hint="eastAsia" w:ascii="华文中宋" w:hAnsi="华文中宋" w:eastAsia="华文中宋" w:cs="仿宋"/>
                <w:b/>
                <w:spacing w:val="20"/>
                <w:kern w:val="0"/>
                <w:sz w:val="28"/>
                <w:szCs w:val="28"/>
              </w:rPr>
              <w:t>江苏华凌科技咨询有限公司</w:t>
            </w:r>
          </w:p>
        </w:tc>
        <w:tc>
          <w:tcPr>
            <w:tcW w:w="992" w:type="dxa"/>
            <w:vMerge w:val="continue"/>
            <w:tcBorders>
              <w:tl2br w:val="nil"/>
              <w:tr2bl w:val="nil"/>
            </w:tcBorders>
          </w:tcPr>
          <w:p>
            <w:pPr>
              <w:spacing w:line="560" w:lineRule="exact"/>
              <w:jc w:val="center"/>
              <w:rPr>
                <w:rFonts w:ascii="华文中宋" w:hAnsi="华文中宋" w:eastAsia="华文中宋" w:cs="仿宋"/>
                <w:b/>
                <w:spacing w:val="20"/>
                <w:kern w:val="0"/>
                <w:sz w:val="28"/>
                <w:szCs w:val="28"/>
              </w:rPr>
            </w:pPr>
          </w:p>
        </w:tc>
      </w:tr>
    </w:tbl>
    <w:p>
      <w:pPr>
        <w:spacing w:line="560" w:lineRule="exact"/>
        <w:jc w:val="center"/>
        <w:rPr>
          <w:rFonts w:ascii="华文中宋" w:hAnsi="华文中宋" w:eastAsia="华文中宋" w:cs="仿宋"/>
          <w:b/>
          <w:sz w:val="28"/>
          <w:szCs w:val="28"/>
        </w:rPr>
      </w:pPr>
      <w:r>
        <w:rPr>
          <w:rFonts w:hint="eastAsia" w:ascii="华文中宋" w:hAnsi="华文中宋" w:eastAsia="华文中宋" w:cs="仿宋"/>
          <w:b/>
          <w:sz w:val="28"/>
          <w:szCs w:val="28"/>
        </w:rPr>
        <w:t>二○二○年十一月十七日</w:t>
      </w:r>
    </w:p>
    <w:p>
      <w:pPr>
        <w:adjustRightInd w:val="0"/>
        <w:snapToGrid w:val="0"/>
        <w:spacing w:line="520" w:lineRule="exact"/>
        <w:ind w:left="-158" w:leftChars="-75"/>
        <w:rPr>
          <w:rFonts w:ascii="华文中宋" w:hAnsi="华文中宋" w:eastAsia="华文中宋" w:cs="仿宋"/>
          <w:b/>
          <w:snapToGrid w:val="0"/>
          <w:sz w:val="28"/>
          <w:szCs w:val="28"/>
          <w:u w:val="single"/>
        </w:rPr>
      </w:pPr>
      <w:r>
        <w:rPr>
          <w:rFonts w:hint="eastAsia" w:ascii="华文中宋" w:hAnsi="华文中宋" w:eastAsia="华文中宋" w:cs="仿宋"/>
          <w:b/>
          <w:snapToGrid w:val="0"/>
          <w:sz w:val="28"/>
          <w:szCs w:val="28"/>
          <w:u w:val="single"/>
        </w:rPr>
        <w:t xml:space="preserve">                                                               </w:t>
      </w:r>
    </w:p>
    <w:p>
      <w:pPr>
        <w:adjustRightInd w:val="0"/>
        <w:snapToGrid w:val="0"/>
        <w:spacing w:line="520" w:lineRule="exact"/>
        <w:ind w:left="-158" w:leftChars="-75"/>
        <w:jc w:val="center"/>
        <w:rPr>
          <w:rFonts w:ascii="仿宋" w:hAnsi="仿宋" w:eastAsia="仿宋" w:cs="仿宋"/>
          <w:b/>
          <w:snapToGrid w:val="0"/>
          <w:sz w:val="26"/>
          <w:szCs w:val="28"/>
          <w:u w:val="single"/>
        </w:rPr>
      </w:pPr>
      <w:r>
        <w:rPr>
          <w:rFonts w:hint="eastAsia" w:ascii="华文中宋" w:hAnsi="华文中宋" w:eastAsia="华文中宋" w:cs="仿宋"/>
          <w:b/>
          <w:spacing w:val="20"/>
          <w:sz w:val="28"/>
          <w:szCs w:val="28"/>
        </w:rPr>
        <w:t>南通市崇川区濠北路508号             邮编226001</w:t>
      </w:r>
      <w:r>
        <w:rPr>
          <w:rFonts w:hint="eastAsia" w:ascii="仿宋" w:hAnsi="仿宋" w:eastAsia="仿宋" w:cs="仿宋"/>
          <w:b/>
          <w:bCs/>
          <w:sz w:val="44"/>
          <w:szCs w:val="44"/>
        </w:rPr>
        <w:br w:type="page"/>
      </w:r>
    </w:p>
    <w:p>
      <w:pPr>
        <w:autoSpaceDE w:val="0"/>
        <w:autoSpaceDN w:val="0"/>
        <w:adjustRightInd w:val="0"/>
        <w:spacing w:before="319" w:beforeLines="100" w:after="319" w:afterLines="100" w:line="360" w:lineRule="auto"/>
        <w:jc w:val="center"/>
        <w:outlineLvl w:val="0"/>
        <w:rPr>
          <w:rFonts w:ascii="仿宋" w:hAnsi="仿宋" w:eastAsia="仿宋" w:cs="仿宋"/>
          <w:b/>
          <w:bCs/>
          <w:sz w:val="52"/>
          <w:szCs w:val="32"/>
          <w:lang w:val="zh-CN"/>
        </w:rPr>
      </w:pPr>
      <w:r>
        <w:rPr>
          <w:rFonts w:hint="eastAsia" w:ascii="仿宋" w:hAnsi="仿宋" w:eastAsia="仿宋" w:cs="仿宋"/>
          <w:b/>
          <w:bCs/>
          <w:sz w:val="52"/>
          <w:szCs w:val="32"/>
          <w:lang w:val="zh-CN"/>
        </w:rPr>
        <w:t>目录</w:t>
      </w:r>
    </w:p>
    <w:p>
      <w:pPr>
        <w:widowControl/>
        <w:shd w:val="clear" w:color="auto" w:fill="FFFFFF"/>
        <w:spacing w:before="319" w:beforeLines="100" w:after="319" w:afterLines="100" w:line="360" w:lineRule="auto"/>
        <w:ind w:firstLine="643" w:firstLineChars="200"/>
        <w:jc w:val="left"/>
        <w:rPr>
          <w:rFonts w:ascii="仿宋" w:hAnsi="仿宋" w:eastAsia="仿宋" w:cs="仿宋"/>
          <w:b/>
          <w:sz w:val="32"/>
          <w:szCs w:val="28"/>
        </w:rPr>
      </w:pPr>
      <w:r>
        <w:rPr>
          <w:rFonts w:hint="eastAsia" w:ascii="仿宋" w:hAnsi="仿宋" w:eastAsia="仿宋" w:cs="仿宋"/>
          <w:b/>
          <w:sz w:val="32"/>
          <w:szCs w:val="28"/>
        </w:rPr>
        <w:t>第一部分  竞争性磋商公告</w:t>
      </w:r>
    </w:p>
    <w:p>
      <w:pPr>
        <w:widowControl/>
        <w:shd w:val="clear" w:color="auto" w:fill="FFFFFF"/>
        <w:spacing w:before="319" w:beforeLines="100" w:after="319" w:afterLines="100" w:line="360" w:lineRule="auto"/>
        <w:ind w:firstLine="643" w:firstLineChars="200"/>
        <w:jc w:val="left"/>
        <w:rPr>
          <w:rFonts w:ascii="仿宋" w:hAnsi="仿宋" w:eastAsia="仿宋" w:cs="仿宋"/>
          <w:b/>
          <w:sz w:val="32"/>
          <w:szCs w:val="28"/>
        </w:rPr>
      </w:pPr>
      <w:r>
        <w:rPr>
          <w:rFonts w:hint="eastAsia" w:ascii="仿宋" w:hAnsi="仿宋" w:eastAsia="仿宋" w:cs="仿宋"/>
          <w:b/>
          <w:sz w:val="32"/>
          <w:szCs w:val="28"/>
        </w:rPr>
        <w:t>第二部分  磋商须知</w:t>
      </w:r>
    </w:p>
    <w:p>
      <w:pPr>
        <w:widowControl/>
        <w:shd w:val="clear" w:color="auto" w:fill="FFFFFF"/>
        <w:spacing w:before="319" w:beforeLines="100" w:after="319" w:afterLines="100" w:line="360" w:lineRule="auto"/>
        <w:ind w:firstLine="643" w:firstLineChars="200"/>
        <w:jc w:val="left"/>
        <w:rPr>
          <w:rFonts w:ascii="仿宋" w:hAnsi="仿宋" w:eastAsia="仿宋" w:cs="仿宋"/>
          <w:b/>
          <w:sz w:val="32"/>
          <w:szCs w:val="28"/>
        </w:rPr>
      </w:pPr>
      <w:r>
        <w:rPr>
          <w:rFonts w:hint="eastAsia" w:ascii="仿宋" w:hAnsi="仿宋" w:eastAsia="仿宋" w:cs="仿宋"/>
          <w:b/>
          <w:sz w:val="32"/>
          <w:szCs w:val="28"/>
        </w:rPr>
        <w:t>第三部分  项目需求</w:t>
      </w:r>
    </w:p>
    <w:p>
      <w:pPr>
        <w:widowControl/>
        <w:shd w:val="clear" w:color="auto" w:fill="FFFFFF"/>
        <w:spacing w:before="319" w:beforeLines="100" w:after="319" w:afterLines="100" w:line="360" w:lineRule="auto"/>
        <w:ind w:firstLine="643" w:firstLineChars="200"/>
        <w:jc w:val="left"/>
        <w:rPr>
          <w:rFonts w:ascii="仿宋" w:hAnsi="仿宋" w:eastAsia="仿宋" w:cs="仿宋"/>
          <w:b/>
          <w:sz w:val="32"/>
          <w:szCs w:val="28"/>
        </w:rPr>
      </w:pPr>
      <w:r>
        <w:rPr>
          <w:rFonts w:hint="eastAsia" w:ascii="仿宋" w:hAnsi="仿宋" w:eastAsia="仿宋" w:cs="仿宋"/>
          <w:b/>
          <w:sz w:val="32"/>
          <w:szCs w:val="28"/>
        </w:rPr>
        <w:t>第四部分  磋商程序和内容</w:t>
      </w:r>
    </w:p>
    <w:p>
      <w:pPr>
        <w:widowControl/>
        <w:shd w:val="clear" w:color="auto" w:fill="FFFFFF"/>
        <w:spacing w:before="319" w:beforeLines="100" w:after="319" w:afterLines="100" w:line="360" w:lineRule="auto"/>
        <w:ind w:firstLine="643" w:firstLineChars="200"/>
        <w:jc w:val="left"/>
        <w:rPr>
          <w:rFonts w:ascii="仿宋" w:hAnsi="仿宋" w:eastAsia="仿宋" w:cs="仿宋"/>
          <w:b/>
          <w:sz w:val="32"/>
          <w:szCs w:val="28"/>
        </w:rPr>
      </w:pPr>
      <w:r>
        <w:rPr>
          <w:rFonts w:hint="eastAsia" w:ascii="仿宋" w:hAnsi="仿宋" w:eastAsia="仿宋" w:cs="仿宋"/>
          <w:b/>
          <w:sz w:val="32"/>
          <w:szCs w:val="28"/>
        </w:rPr>
        <w:t>第五部分  合同签订与验收付款</w:t>
      </w:r>
    </w:p>
    <w:p>
      <w:pPr>
        <w:widowControl/>
        <w:shd w:val="clear" w:color="auto" w:fill="FFFFFF"/>
        <w:spacing w:before="319" w:beforeLines="100" w:after="319" w:afterLines="100" w:line="360" w:lineRule="auto"/>
        <w:ind w:firstLine="643" w:firstLineChars="200"/>
        <w:jc w:val="left"/>
        <w:rPr>
          <w:rFonts w:ascii="仿宋" w:hAnsi="仿宋" w:eastAsia="仿宋" w:cs="仿宋"/>
          <w:b/>
          <w:sz w:val="32"/>
          <w:szCs w:val="28"/>
        </w:rPr>
      </w:pPr>
      <w:r>
        <w:rPr>
          <w:rFonts w:hint="eastAsia" w:ascii="仿宋" w:hAnsi="仿宋" w:eastAsia="仿宋" w:cs="仿宋"/>
          <w:b/>
          <w:sz w:val="32"/>
          <w:szCs w:val="28"/>
        </w:rPr>
        <w:t>第六部分  质疑提出和处理</w:t>
      </w:r>
    </w:p>
    <w:p>
      <w:pPr>
        <w:widowControl/>
        <w:shd w:val="clear" w:color="auto" w:fill="FFFFFF"/>
        <w:spacing w:before="319" w:beforeLines="100" w:after="319" w:afterLines="100" w:line="360" w:lineRule="auto"/>
        <w:ind w:firstLine="643" w:firstLineChars="200"/>
        <w:jc w:val="left"/>
        <w:rPr>
          <w:rFonts w:ascii="仿宋" w:hAnsi="仿宋" w:eastAsia="仿宋" w:cs="仿宋"/>
          <w:b/>
          <w:sz w:val="32"/>
          <w:szCs w:val="28"/>
        </w:rPr>
      </w:pPr>
      <w:r>
        <w:rPr>
          <w:rFonts w:hint="eastAsia" w:ascii="仿宋" w:hAnsi="仿宋" w:eastAsia="仿宋" w:cs="仿宋"/>
          <w:b/>
          <w:sz w:val="32"/>
          <w:szCs w:val="28"/>
        </w:rPr>
        <w:t>第七部分  响应文件组成</w:t>
      </w:r>
    </w:p>
    <w:p>
      <w:pPr>
        <w:widowControl/>
        <w:jc w:val="left"/>
        <w:rPr>
          <w:rFonts w:ascii="仿宋" w:hAnsi="仿宋" w:eastAsia="仿宋"/>
          <w:sz w:val="28"/>
          <w:szCs w:val="28"/>
        </w:rPr>
      </w:pPr>
      <w:r>
        <w:rPr>
          <w:rFonts w:ascii="仿宋" w:hAnsi="仿宋" w:eastAsia="仿宋"/>
          <w:sz w:val="28"/>
          <w:szCs w:val="28"/>
        </w:rPr>
        <w:br w:type="page"/>
      </w:r>
    </w:p>
    <w:p>
      <w:pPr>
        <w:pStyle w:val="2"/>
        <w:spacing w:before="159" w:beforeLines="50" w:after="159" w:afterLines="50" w:line="360" w:lineRule="auto"/>
        <w:jc w:val="center"/>
        <w:rPr>
          <w:rFonts w:ascii="仿宋" w:hAnsi="仿宋" w:eastAsia="仿宋"/>
        </w:rPr>
      </w:pPr>
      <w:r>
        <w:rPr>
          <w:rFonts w:hint="eastAsia" w:ascii="仿宋" w:hAnsi="仿宋" w:eastAsia="仿宋"/>
        </w:rPr>
        <w:t>第一部分 竞争性磋商公告</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江苏华凌科技咨询有限公司（以下简称“代理机构”）受南通文旅科技有限公司委托，对其所需的南通市文化广电和旅游局指挥中心显示硬件及会议系统建设项目实施竞争性磋商方式组织采购。现公告如下：</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项目概况</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南通市文化广电和旅游局指挥中心显示硬件及会议系统建设项目的潜在供应商应在</w:t>
      </w:r>
      <w:r>
        <w:rPr>
          <w:rFonts w:hint="eastAsia" w:ascii="仿宋" w:hAnsi="仿宋" w:eastAsia="仿宋" w:cs="仿宋"/>
          <w:sz w:val="28"/>
          <w:szCs w:val="28"/>
          <w:u w:val="single"/>
        </w:rPr>
        <w:t>“</w:t>
      </w:r>
      <w:r>
        <w:rPr>
          <w:rFonts w:hint="eastAsia" w:ascii="仿宋" w:hAnsi="仿宋" w:eastAsia="仿宋" w:cs="仿宋"/>
          <w:kern w:val="0"/>
          <w:sz w:val="28"/>
          <w:szCs w:val="28"/>
          <w:u w:val="single"/>
        </w:rPr>
        <w:t>南通市大数据发展集团有限公司网站</w:t>
      </w:r>
      <w:r>
        <w:rPr>
          <w:rFonts w:hint="eastAsia" w:ascii="仿宋" w:hAnsi="仿宋" w:eastAsia="仿宋" w:cs="仿宋"/>
          <w:sz w:val="28"/>
          <w:szCs w:val="28"/>
          <w:u w:val="single"/>
        </w:rPr>
        <w:t>”</w:t>
      </w:r>
      <w:r>
        <w:rPr>
          <w:rFonts w:hint="eastAsia" w:ascii="仿宋" w:hAnsi="仿宋" w:eastAsia="仿宋" w:cs="仿宋"/>
          <w:sz w:val="28"/>
          <w:szCs w:val="28"/>
        </w:rPr>
        <w:t>获取采购文件，并于</w:t>
      </w:r>
      <w:r>
        <w:rPr>
          <w:rFonts w:hint="eastAsia" w:ascii="仿宋" w:hAnsi="仿宋" w:eastAsia="仿宋" w:cs="仿宋"/>
          <w:color w:val="FF0000"/>
          <w:sz w:val="28"/>
          <w:szCs w:val="28"/>
          <w:u w:val="single"/>
        </w:rPr>
        <w:t>2020年 11月21日14时30分</w:t>
      </w:r>
      <w:r>
        <w:rPr>
          <w:rFonts w:hint="eastAsia" w:ascii="仿宋" w:hAnsi="仿宋" w:eastAsia="仿宋" w:cs="仿宋"/>
          <w:sz w:val="28"/>
          <w:szCs w:val="28"/>
        </w:rPr>
        <w:t>（北京时间）前递交响应文件。</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一、项目基本情况</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项目编号：JSHL-DL-2020（CS69）</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sz w:val="28"/>
          <w:szCs w:val="28"/>
        </w:rPr>
        <w:t>南通市文化广电和旅游局指挥中心显示硬件及会议系统</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采购方式：竞争性磋商</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color w:val="000000" w:themeColor="text1"/>
          <w:sz w:val="28"/>
          <w:szCs w:val="28"/>
          <w14:textFill>
            <w14:solidFill>
              <w14:schemeClr w14:val="tx1"/>
            </w14:solidFill>
          </w14:textFill>
        </w:rPr>
        <w:t xml:space="preserve"> 46 </w:t>
      </w:r>
      <w:r>
        <w:rPr>
          <w:rFonts w:hint="eastAsia" w:ascii="仿宋" w:hAnsi="仿宋" w:eastAsia="仿宋" w:cs="仿宋"/>
          <w:sz w:val="28"/>
          <w:szCs w:val="28"/>
        </w:rPr>
        <w:t>万元</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本项目不接受联合体。</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二、申请人的资格要求：</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（1）法人或者其他组织的营业执照等证明文件；</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（2）上一年度的财务状况报告（成立不满一年不需提供）；</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（3）依法缴纳税收和社会保障资金的相关材料；</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（4）具备履行合同所必需的设备和专业技术能力的证明材料；</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（5）参加政府采购活动前3年内在经营活动中没有重大违法记录的书面声明。</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2.落实政府采购政策需满足的资格要求：</w:t>
      </w:r>
      <w:r>
        <w:rPr>
          <w:rFonts w:hint="eastAsia" w:ascii="仿宋" w:hAnsi="仿宋" w:eastAsia="仿宋" w:cs="仿宋"/>
          <w:color w:val="FF0000"/>
          <w:sz w:val="28"/>
          <w:szCs w:val="28"/>
        </w:rPr>
        <w:t>详见第四部分第六条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3.本项目的特定资格要求：</w:t>
      </w:r>
    </w:p>
    <w:p>
      <w:pPr>
        <w:spacing w:line="360" w:lineRule="auto"/>
        <w:ind w:firstLine="560" w:firstLineChars="200"/>
        <w:rPr>
          <w:rFonts w:ascii="仿宋" w:hAnsi="仿宋" w:eastAsia="仿宋" w:cs="Times New Roman"/>
          <w:sz w:val="28"/>
          <w:szCs w:val="28"/>
        </w:rPr>
      </w:pPr>
      <w:r>
        <w:rPr>
          <w:rFonts w:hint="eastAsia" w:ascii="仿宋" w:hAnsi="仿宋" w:eastAsia="仿宋" w:cs="仿宋"/>
          <w:sz w:val="28"/>
          <w:szCs w:val="28"/>
        </w:rPr>
        <w:t>（1）供应商未被“信用中国”网站（www.creditchina.gov.cn）列入失信被执行人、重大税收违法案件当事人名单、政府采购严重失信行为记录名单</w:t>
      </w:r>
      <w:r>
        <w:rPr>
          <w:rFonts w:hint="eastAsia" w:ascii="仿宋" w:hAnsi="仿宋" w:eastAsia="仿宋" w:cs="Times New Roman"/>
          <w:sz w:val="28"/>
          <w:szCs w:val="28"/>
        </w:rPr>
        <w:t>。</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三、获取采购文件</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color w:val="FF0000"/>
          <w:sz w:val="28"/>
          <w:szCs w:val="28"/>
        </w:rPr>
        <w:t>2020年11月17日至2020年11月19日，每天上午9:00至11:30，下午13:30至17:30</w:t>
      </w:r>
      <w:r>
        <w:rPr>
          <w:rFonts w:hint="eastAsia" w:ascii="仿宋" w:hAnsi="仿宋" w:eastAsia="仿宋" w:cs="仿宋"/>
          <w:sz w:val="28"/>
          <w:szCs w:val="28"/>
        </w:rPr>
        <w:t>（北京时间，法定节假日除外）</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地点：南通市崇川区崇川路58号2幢504室</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方式：线上。供应商法定代表人或授权代表和招标代理机构工作人员（联系人：曹玉蓉，18862980992，邮箱：jshlzcdl@jshl2015.com）联系，将采购文件领购申请表加盖公章（见附件），扫描件发至邮箱。</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四、响应文件提交</w:t>
      </w:r>
    </w:p>
    <w:p>
      <w:pPr>
        <w:widowControl/>
        <w:shd w:val="clear" w:color="auto" w:fill="FFFFFF"/>
        <w:spacing w:line="360" w:lineRule="auto"/>
        <w:ind w:firstLine="560" w:firstLineChars="200"/>
        <w:jc w:val="left"/>
        <w:rPr>
          <w:rFonts w:ascii="仿宋" w:hAnsi="仿宋" w:eastAsia="仿宋" w:cs="仿宋"/>
          <w:sz w:val="28"/>
          <w:szCs w:val="28"/>
          <w:u w:val="single"/>
        </w:rPr>
      </w:pPr>
      <w:r>
        <w:rPr>
          <w:rFonts w:hint="eastAsia" w:ascii="仿宋" w:hAnsi="仿宋" w:eastAsia="仿宋" w:cs="仿宋"/>
          <w:sz w:val="28"/>
          <w:szCs w:val="28"/>
        </w:rPr>
        <w:t>截止时间：2020年11月21日14时30分（北京时间）</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地点：南通市文化广电和旅游局会议室（若有调整，招标代理机构将另行通知）。</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五、公告期限</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自本公告发布之日起3个工作日。</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六、其他补充事宜</w:t>
      </w:r>
    </w:p>
    <w:p>
      <w:pPr>
        <w:widowControl/>
        <w:shd w:val="clear" w:color="auto" w:fill="FFFFFF"/>
        <w:spacing w:line="360" w:lineRule="auto"/>
        <w:ind w:firstLine="560" w:firstLineChars="200"/>
        <w:jc w:val="left"/>
        <w:rPr>
          <w:rFonts w:ascii="仿宋" w:hAnsi="仿宋" w:eastAsia="仿宋" w:cs="Times New Roman"/>
          <w:b/>
          <w:sz w:val="28"/>
          <w:szCs w:val="28"/>
          <w:lang w:val="zh-CN"/>
        </w:rPr>
      </w:pPr>
      <w:r>
        <w:rPr>
          <w:rFonts w:hint="eastAsia" w:ascii="仿宋" w:hAnsi="仿宋" w:eastAsia="仿宋" w:cs="Times New Roman"/>
          <w:sz w:val="28"/>
          <w:szCs w:val="28"/>
        </w:rPr>
        <w:t>本项目不收投标保证金。</w:t>
      </w:r>
    </w:p>
    <w:p>
      <w:pPr>
        <w:widowControl/>
        <w:shd w:val="clear" w:color="auto" w:fill="FFFFFF"/>
        <w:spacing w:line="360" w:lineRule="auto"/>
        <w:ind w:firstLine="560" w:firstLineChars="200"/>
        <w:jc w:val="left"/>
        <w:rPr>
          <w:rFonts w:ascii="仿宋" w:hAnsi="仿宋" w:eastAsia="仿宋" w:cs="宋体"/>
          <w:color w:val="333333"/>
          <w:kern w:val="0"/>
          <w:sz w:val="24"/>
          <w:szCs w:val="24"/>
        </w:rPr>
      </w:pPr>
      <w:r>
        <w:rPr>
          <w:rFonts w:hint="eastAsia" w:ascii="仿宋" w:hAnsi="仿宋" w:eastAsia="仿宋" w:cs="宋体"/>
          <w:sz w:val="28"/>
          <w:szCs w:val="28"/>
          <w:lang w:val="zh-CN"/>
        </w:rPr>
        <w:t>供应商响应：凡有意参与本项目响应的，自本公告发布之日起即可和</w:t>
      </w:r>
      <w:r>
        <w:rPr>
          <w:rFonts w:hint="eastAsia" w:ascii="仿宋" w:hAnsi="仿宋" w:eastAsia="仿宋" w:cs="仿宋"/>
          <w:b/>
          <w:sz w:val="28"/>
          <w:szCs w:val="28"/>
          <w:lang w:val="zh-CN"/>
        </w:rPr>
        <w:t>招标代理机构工作人员（联系人：曹玉蓉，联系电话：18862980992，邮箱：</w:t>
      </w:r>
      <w:r>
        <w:fldChar w:fldCharType="begin"/>
      </w:r>
      <w:r>
        <w:instrText xml:space="preserve"> HYPERLINK "mailto:jshlzcdl@jshl2015.com" </w:instrText>
      </w:r>
      <w:r>
        <w:fldChar w:fldCharType="separate"/>
      </w:r>
      <w:r>
        <w:rPr>
          <w:rFonts w:hint="eastAsia" w:ascii="仿宋" w:hAnsi="仿宋" w:eastAsia="仿宋" w:cs="仿宋"/>
          <w:b/>
          <w:color w:val="0000FF"/>
          <w:sz w:val="28"/>
          <w:szCs w:val="28"/>
          <w:u w:val="single"/>
        </w:rPr>
        <w:t>jshlzcdl@jshl2015.com</w:t>
      </w:r>
      <w:r>
        <w:rPr>
          <w:rFonts w:hint="eastAsia" w:ascii="仿宋" w:hAnsi="仿宋" w:eastAsia="仿宋" w:cs="仿宋"/>
          <w:b/>
          <w:color w:val="0000FF"/>
          <w:sz w:val="28"/>
          <w:szCs w:val="28"/>
          <w:u w:val="single"/>
        </w:rPr>
        <w:fldChar w:fldCharType="end"/>
      </w:r>
      <w:r>
        <w:rPr>
          <w:rFonts w:hint="eastAsia" w:ascii="仿宋" w:hAnsi="仿宋" w:eastAsia="仿宋" w:cs="仿宋"/>
          <w:b/>
          <w:sz w:val="28"/>
          <w:szCs w:val="28"/>
          <w:lang w:val="zh-CN"/>
        </w:rPr>
        <w:t xml:space="preserve"> ）联系，将采购文件领购申请表加盖公章（见附件），扫描件发至邮箱</w:t>
      </w:r>
      <w:r>
        <w:rPr>
          <w:rFonts w:hint="eastAsia" w:ascii="仿宋" w:hAnsi="仿宋" w:eastAsia="仿宋" w:cs="仿宋"/>
          <w:sz w:val="28"/>
          <w:szCs w:val="28"/>
          <w:lang w:val="zh-CN"/>
        </w:rPr>
        <w:t>。</w:t>
      </w:r>
      <w:r>
        <w:rPr>
          <w:rFonts w:hint="eastAsia" w:ascii="仿宋" w:hAnsi="仿宋" w:eastAsia="仿宋" w:cs="仿宋"/>
          <w:b/>
          <w:sz w:val="28"/>
          <w:szCs w:val="28"/>
          <w:lang w:val="zh-CN"/>
        </w:rPr>
        <w:t>响应截止时间为2020年</w:t>
      </w:r>
      <w:r>
        <w:rPr>
          <w:rFonts w:hint="eastAsia" w:ascii="仿宋" w:hAnsi="仿宋" w:eastAsia="仿宋" w:cs="仿宋"/>
          <w:b/>
          <w:sz w:val="28"/>
          <w:szCs w:val="28"/>
        </w:rPr>
        <w:t>11</w:t>
      </w:r>
      <w:r>
        <w:rPr>
          <w:rFonts w:hint="eastAsia" w:ascii="仿宋" w:hAnsi="仿宋" w:eastAsia="仿宋" w:cs="仿宋"/>
          <w:b/>
          <w:sz w:val="28"/>
          <w:szCs w:val="28"/>
          <w:lang w:val="zh-CN"/>
        </w:rPr>
        <w:t>月</w:t>
      </w:r>
      <w:r>
        <w:rPr>
          <w:rFonts w:hint="eastAsia" w:ascii="仿宋" w:hAnsi="仿宋" w:eastAsia="仿宋" w:cs="仿宋"/>
          <w:b/>
          <w:sz w:val="28"/>
          <w:szCs w:val="28"/>
        </w:rPr>
        <w:t>19</w:t>
      </w:r>
      <w:r>
        <w:rPr>
          <w:rFonts w:hint="eastAsia" w:ascii="仿宋" w:hAnsi="仿宋" w:eastAsia="仿宋" w:cs="仿宋"/>
          <w:b/>
          <w:sz w:val="28"/>
          <w:szCs w:val="28"/>
          <w:lang w:val="zh-CN"/>
        </w:rPr>
        <w:t>日17:00时</w:t>
      </w:r>
      <w:r>
        <w:rPr>
          <w:rFonts w:hint="eastAsia" w:ascii="仿宋" w:hAnsi="仿宋" w:eastAsia="仿宋" w:cs="仿宋"/>
          <w:sz w:val="28"/>
          <w:szCs w:val="28"/>
          <w:lang w:val="zh-CN"/>
        </w:rPr>
        <w:t>。逾期不可响应。</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七、对本次采购提出询问，请按以下方式联系。</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1.采购人信息</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名 称：南通文旅科技有限公司</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地址：南通市崇川区濠北路508号</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联系方式：潘经理（15851278664）</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2.采购代理机构信息</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名 称：江苏华凌科技咨询有限公司</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地址：南通市崇川区崇川路58号2幢503室</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联系方式：曹玉蓉（</w:t>
      </w:r>
      <w:r>
        <w:rPr>
          <w:rFonts w:ascii="仿宋" w:hAnsi="仿宋" w:eastAsia="仿宋" w:cs="仿宋"/>
          <w:sz w:val="28"/>
          <w:szCs w:val="28"/>
        </w:rPr>
        <w:t>18862980992</w:t>
      </w:r>
      <w:r>
        <w:rPr>
          <w:rFonts w:hint="eastAsia" w:ascii="仿宋" w:hAnsi="仿宋" w:eastAsia="仿宋" w:cs="仿宋"/>
          <w:sz w:val="28"/>
          <w:szCs w:val="28"/>
        </w:rPr>
        <w:t>）</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3.项目联系方式</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项目联系人：白凌</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联系电话：13912291248</w:t>
      </w:r>
    </w:p>
    <w:p>
      <w:pPr>
        <w:widowControl/>
        <w:shd w:val="clear" w:color="auto" w:fill="FFFFFF"/>
        <w:spacing w:line="360" w:lineRule="auto"/>
        <w:ind w:firstLine="562" w:firstLineChars="200"/>
        <w:jc w:val="right"/>
        <w:rPr>
          <w:rFonts w:ascii="仿宋" w:hAnsi="仿宋" w:eastAsia="仿宋" w:cs="仿宋"/>
          <w:b/>
          <w:sz w:val="28"/>
          <w:szCs w:val="28"/>
        </w:rPr>
      </w:pPr>
    </w:p>
    <w:p>
      <w:pPr>
        <w:widowControl/>
        <w:shd w:val="clear" w:color="auto" w:fill="FFFFFF"/>
        <w:spacing w:line="360" w:lineRule="auto"/>
        <w:ind w:firstLine="562" w:firstLineChars="200"/>
        <w:jc w:val="right"/>
        <w:rPr>
          <w:rFonts w:ascii="仿宋" w:hAnsi="仿宋" w:eastAsia="仿宋" w:cs="仿宋"/>
          <w:b/>
          <w:sz w:val="28"/>
          <w:szCs w:val="28"/>
        </w:rPr>
      </w:pPr>
      <w:r>
        <w:rPr>
          <w:rFonts w:hint="eastAsia" w:ascii="仿宋" w:hAnsi="仿宋" w:eastAsia="仿宋" w:cs="仿宋"/>
          <w:b/>
          <w:sz w:val="28"/>
          <w:szCs w:val="28"/>
        </w:rPr>
        <w:t>江苏华凌科技咨询有限公司</w:t>
      </w:r>
    </w:p>
    <w:p>
      <w:pPr>
        <w:widowControl/>
        <w:shd w:val="clear" w:color="auto" w:fill="FFFFFF"/>
        <w:spacing w:line="360" w:lineRule="auto"/>
        <w:ind w:firstLine="562" w:firstLineChars="200"/>
        <w:jc w:val="right"/>
        <w:rPr>
          <w:rFonts w:ascii="仿宋" w:hAnsi="仿宋" w:eastAsia="仿宋" w:cs="仿宋"/>
          <w:b/>
          <w:sz w:val="28"/>
          <w:szCs w:val="28"/>
        </w:rPr>
      </w:pPr>
      <w:r>
        <w:rPr>
          <w:rFonts w:hint="eastAsia" w:ascii="仿宋" w:hAnsi="仿宋" w:eastAsia="仿宋" w:cs="仿宋"/>
          <w:b/>
          <w:sz w:val="28"/>
          <w:szCs w:val="28"/>
        </w:rPr>
        <w:t>2020年11月17日</w:t>
      </w:r>
    </w:p>
    <w:p>
      <w:pPr>
        <w:spacing w:line="360" w:lineRule="auto"/>
        <w:ind w:firstLine="560" w:firstLineChars="200"/>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br w:type="page"/>
      </w:r>
    </w:p>
    <w:p>
      <w:pPr>
        <w:pStyle w:val="2"/>
        <w:spacing w:before="159" w:beforeLines="50" w:after="159" w:afterLines="50" w:line="360" w:lineRule="auto"/>
        <w:jc w:val="center"/>
        <w:rPr>
          <w:rFonts w:ascii="仿宋" w:hAnsi="仿宋" w:eastAsia="仿宋"/>
        </w:rPr>
      </w:pPr>
      <w:r>
        <w:rPr>
          <w:rFonts w:hint="eastAsia" w:ascii="仿宋" w:hAnsi="仿宋" w:eastAsia="仿宋"/>
        </w:rPr>
        <w:t>第二部分 磋商须知</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一、本磋商文件由代理机构解释。</w:t>
      </w:r>
    </w:p>
    <w:p>
      <w:pPr>
        <w:widowControl/>
        <w:shd w:val="clear" w:color="auto" w:fill="FFFFFF"/>
        <w:spacing w:line="360" w:lineRule="auto"/>
        <w:ind w:firstLine="560" w:firstLineChars="200"/>
        <w:jc w:val="left"/>
        <w:rPr>
          <w:rFonts w:ascii="仿宋" w:hAnsi="仿宋" w:eastAsia="仿宋" w:cs="仿宋"/>
          <w:b/>
          <w:sz w:val="28"/>
          <w:szCs w:val="28"/>
        </w:rPr>
      </w:pPr>
      <w:r>
        <w:rPr>
          <w:rFonts w:hint="eastAsia" w:ascii="仿宋" w:hAnsi="仿宋" w:eastAsia="仿宋" w:cs="仿宋"/>
          <w:sz w:val="28"/>
          <w:szCs w:val="28"/>
        </w:rPr>
        <w:t>1</w:t>
      </w:r>
      <w:r>
        <w:rPr>
          <w:rFonts w:hint="eastAsia" w:ascii="仿宋" w:hAnsi="仿宋" w:eastAsia="仿宋" w:cs="Times New Roman"/>
          <w:sz w:val="28"/>
          <w:szCs w:val="28"/>
          <w:lang w:val="zh-CN"/>
        </w:rPr>
        <w:t>.</w:t>
      </w:r>
      <w:r>
        <w:rPr>
          <w:rFonts w:hint="eastAsia" w:ascii="仿宋" w:hAnsi="仿宋" w:eastAsia="仿宋" w:cs="仿宋"/>
          <w:sz w:val="28"/>
          <w:szCs w:val="28"/>
        </w:rPr>
        <w:t>供应商在获取磋商文件后，应仔细检查磋商文件的所有内容，如对政府采购活动事项有疑问的，应向采购人或代理机构以书面形式提出，否则视同供应商理解并接受本磋商文件所有内容，并由此引起的损失自负。供应商不得在磋商结束后针对磋商文件所有内容提出质疑事项。</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Times New Roman"/>
          <w:sz w:val="28"/>
          <w:szCs w:val="28"/>
          <w:lang w:val="zh-CN"/>
        </w:rPr>
        <w:t>.</w:t>
      </w:r>
      <w:r>
        <w:rPr>
          <w:rFonts w:hint="eastAsia" w:ascii="仿宋" w:hAnsi="仿宋" w:eastAsia="仿宋" w:cs="仿宋"/>
          <w:sz w:val="28"/>
          <w:szCs w:val="28"/>
        </w:rPr>
        <w:t>供应商应认真审阅磋商文件中所有的事项、格式、条款和规范要求等，如果供应商没有按照磋商文件要求提交响应文件，或者响应文件没有对磋商文件做出实质性响应，将被拒绝参与磋商。</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二、磋商文件的澄清、修改、答疑</w:t>
      </w:r>
    </w:p>
    <w:p>
      <w:pPr>
        <w:widowControl/>
        <w:shd w:val="clear" w:color="auto" w:fill="FFFFFF"/>
        <w:spacing w:line="360" w:lineRule="auto"/>
        <w:ind w:firstLine="560" w:firstLineChars="200"/>
        <w:jc w:val="left"/>
        <w:rPr>
          <w:rFonts w:ascii="仿宋" w:hAnsi="仿宋" w:eastAsia="仿宋" w:cs="仿宋"/>
          <w:sz w:val="28"/>
          <w:szCs w:val="28"/>
          <w:lang w:val="zh-CN"/>
        </w:rPr>
      </w:pPr>
      <w:r>
        <w:rPr>
          <w:rFonts w:hint="eastAsia" w:ascii="仿宋" w:hAnsi="仿宋" w:eastAsia="仿宋" w:cs="仿宋"/>
          <w:sz w:val="28"/>
          <w:szCs w:val="28"/>
        </w:rPr>
        <w:t>本</w:t>
      </w:r>
      <w:r>
        <w:rPr>
          <w:rFonts w:hint="eastAsia" w:ascii="仿宋" w:hAnsi="仿宋" w:eastAsia="仿宋" w:cs="仿宋"/>
          <w:sz w:val="28"/>
          <w:szCs w:val="28"/>
          <w:lang w:val="zh-CN"/>
        </w:rPr>
        <w:t>代理机构可以对已发出的磋商文件进行必要的澄清或者修改，澄清或者修改的内容作为磋商文件的组成部分。澄清或者修改的内容可能影响响应文件编制的，代理机构将在提交首次响应文件截止之日5日前，以公告书面形式（包括电子邮件发送盖章扫描件）通知所有接收磋商文件的供应商，不足5日的，应当顺延提交首次响应文件截止之日。</w:t>
      </w:r>
    </w:p>
    <w:p>
      <w:pPr>
        <w:widowControl/>
        <w:shd w:val="clear" w:color="auto" w:fill="FFFFFF"/>
        <w:spacing w:line="360" w:lineRule="auto"/>
        <w:ind w:firstLine="560" w:firstLineChars="200"/>
        <w:jc w:val="left"/>
        <w:rPr>
          <w:rFonts w:ascii="仿宋" w:hAnsi="仿宋" w:eastAsia="仿宋" w:cs="仿宋"/>
          <w:sz w:val="28"/>
          <w:szCs w:val="28"/>
          <w:lang w:val="zh-CN"/>
        </w:rPr>
      </w:pPr>
      <w:r>
        <w:rPr>
          <w:rFonts w:hint="eastAsia" w:ascii="仿宋" w:hAnsi="仿宋" w:eastAsia="仿宋" w:cs="仿宋"/>
          <w:sz w:val="28"/>
          <w:szCs w:val="28"/>
          <w:lang w:val="zh-CN"/>
        </w:rPr>
        <w:t>供应商由于对磋商文件的任何推论和误解以及本代理机构对有关问题的口头解释所造成的后果，均由供应商自负。</w:t>
      </w:r>
    </w:p>
    <w:p>
      <w:pPr>
        <w:widowControl/>
        <w:shd w:val="clear" w:color="auto" w:fill="FFFFFF"/>
        <w:spacing w:line="360" w:lineRule="auto"/>
        <w:ind w:firstLine="560" w:firstLineChars="200"/>
        <w:jc w:val="left"/>
        <w:rPr>
          <w:rFonts w:ascii="仿宋" w:hAnsi="仿宋" w:eastAsia="仿宋" w:cs="仿宋"/>
          <w:sz w:val="28"/>
          <w:szCs w:val="28"/>
          <w:lang w:val="zh-CN"/>
        </w:rPr>
      </w:pPr>
      <w:r>
        <w:rPr>
          <w:rFonts w:hint="eastAsia" w:ascii="仿宋" w:hAnsi="仿宋" w:eastAsia="仿宋" w:cs="仿宋"/>
          <w:sz w:val="28"/>
          <w:szCs w:val="28"/>
          <w:lang w:val="zh-CN"/>
        </w:rPr>
        <w:t>本代理机构或采购单位可视情组织答疑会。</w:t>
      </w:r>
    </w:p>
    <w:p>
      <w:pPr>
        <w:widowControl/>
        <w:shd w:val="clear" w:color="auto" w:fill="FFFFFF"/>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lang w:val="zh-CN"/>
        </w:rPr>
        <w:t>三、响应文件的编写、份数和签署</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zh-CN"/>
        </w:rPr>
        <w:t>1</w:t>
      </w:r>
      <w:r>
        <w:rPr>
          <w:rFonts w:hint="eastAsia" w:ascii="仿宋" w:hAnsi="仿宋" w:eastAsia="仿宋" w:cs="Times New Roman"/>
          <w:sz w:val="28"/>
          <w:szCs w:val="28"/>
          <w:lang w:val="zh-CN"/>
        </w:rPr>
        <w:t>.</w:t>
      </w:r>
      <w:r>
        <w:rPr>
          <w:rFonts w:hint="eastAsia" w:ascii="仿宋" w:hAnsi="仿宋" w:eastAsia="仿宋" w:cs="仿宋"/>
          <w:sz w:val="28"/>
          <w:szCs w:val="28"/>
          <w:lang w:val="zh-CN"/>
        </w:rPr>
        <w:t>供应商按“第七部分响应文件组成”要求编写响应文件，自编目录并连续标注页码，不得将内容拆开，并牢固装订成册。响应文件均需采用A4纸（</w:t>
      </w:r>
      <w:r>
        <w:rPr>
          <w:rFonts w:hint="eastAsia" w:ascii="仿宋" w:hAnsi="仿宋" w:eastAsia="仿宋" w:cs="仿宋"/>
          <w:sz w:val="28"/>
          <w:szCs w:val="28"/>
        </w:rPr>
        <w:t>图纸等除外），不允许使用活页夹、拉杆夹、文件夹、塑料方便式书脊（插入式或穿孔式）装订。响应文件不得行间插字、涂改、增删，如修补错漏处，须经响应文件签署人签字并加盖公章。</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Times New Roman"/>
          <w:sz w:val="28"/>
          <w:szCs w:val="28"/>
          <w:lang w:val="zh-CN"/>
        </w:rPr>
        <w:t>.</w:t>
      </w:r>
      <w:r>
        <w:rPr>
          <w:rFonts w:hint="eastAsia" w:ascii="仿宋" w:hAnsi="仿宋" w:eastAsia="仿宋" w:cs="仿宋"/>
          <w:sz w:val="28"/>
          <w:szCs w:val="28"/>
        </w:rPr>
        <w:t>响应文件正本须打印并由法定代表人或授权人签字并加盖单位印章。副本可复印，但须加盖单位印章。</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Times New Roman"/>
          <w:sz w:val="28"/>
          <w:szCs w:val="28"/>
          <w:lang w:val="zh-CN"/>
        </w:rPr>
        <w:t>.</w:t>
      </w:r>
      <w:r>
        <w:rPr>
          <w:rFonts w:hint="eastAsia" w:ascii="仿宋" w:hAnsi="仿宋" w:eastAsia="仿宋" w:cs="仿宋"/>
          <w:sz w:val="28"/>
          <w:szCs w:val="28"/>
        </w:rPr>
        <w:t>本代理机构将拒绝接收未按照磋商文件要求的响应文件。</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四、响应文件的密封及标记</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Times New Roman"/>
          <w:sz w:val="28"/>
          <w:szCs w:val="28"/>
          <w:lang w:val="zh-CN"/>
        </w:rPr>
        <w:t>.</w:t>
      </w:r>
      <w:r>
        <w:rPr>
          <w:rFonts w:hint="eastAsia" w:ascii="仿宋" w:hAnsi="仿宋" w:eastAsia="仿宋" w:cs="仿宋"/>
          <w:sz w:val="28"/>
          <w:szCs w:val="28"/>
        </w:rPr>
        <w:t>商务技术文件应将正本、副本及图纸类等（如需提供图纸等其它资料的话）合并密封，统一装在一个密封袋或密封箱内（如有A3大小的图纸类，可单独密封）。</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Times New Roman"/>
          <w:sz w:val="28"/>
          <w:szCs w:val="28"/>
          <w:lang w:val="zh-CN"/>
        </w:rPr>
        <w:t>.</w:t>
      </w:r>
      <w:r>
        <w:rPr>
          <w:rFonts w:hint="eastAsia" w:ascii="仿宋" w:hAnsi="仿宋" w:eastAsia="仿宋" w:cs="仿宋"/>
          <w:sz w:val="28"/>
          <w:szCs w:val="28"/>
        </w:rPr>
        <w:t>响应报价表须单独密封，不得出现于其他响应文件中。</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Times New Roman"/>
          <w:sz w:val="28"/>
          <w:szCs w:val="28"/>
          <w:lang w:val="zh-CN"/>
        </w:rPr>
        <w:t>.</w:t>
      </w:r>
      <w:r>
        <w:rPr>
          <w:rFonts w:hint="eastAsia" w:ascii="仿宋" w:hAnsi="仿宋" w:eastAsia="仿宋" w:cs="仿宋"/>
          <w:sz w:val="28"/>
          <w:szCs w:val="28"/>
        </w:rPr>
        <w:t>密封后应标明响应文件项目名称、项目编号、边缝处加盖单位骑缝章或骑缝签字，并注明于磋商前不得启封。</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Times New Roman"/>
          <w:sz w:val="28"/>
          <w:szCs w:val="28"/>
          <w:lang w:val="zh-CN"/>
        </w:rPr>
        <w:t>.</w:t>
      </w:r>
      <w:r>
        <w:rPr>
          <w:rFonts w:hint="eastAsia" w:ascii="仿宋" w:hAnsi="仿宋" w:eastAsia="仿宋" w:cs="仿宋"/>
          <w:sz w:val="28"/>
          <w:szCs w:val="28"/>
        </w:rPr>
        <w:t>本代理机构将拒绝接收未按照磋商文件要求密封的响应文件。</w:t>
      </w:r>
    </w:p>
    <w:p>
      <w:pPr>
        <w:widowControl/>
        <w:shd w:val="clear" w:color="auto" w:fill="FFFFFF"/>
        <w:spacing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8"/>
        </w:rPr>
        <w:t>五、</w:t>
      </w:r>
      <w:r>
        <w:rPr>
          <w:rFonts w:hint="eastAsia" w:ascii="仿宋" w:hAnsi="仿宋" w:eastAsia="仿宋" w:cs="仿宋"/>
          <w:b/>
          <w:sz w:val="28"/>
          <w:szCs w:val="24"/>
        </w:rPr>
        <w:t>报价准备</w:t>
      </w:r>
    </w:p>
    <w:p>
      <w:pPr>
        <w:widowControl/>
        <w:shd w:val="clear" w:color="auto" w:fill="FFFFFF"/>
        <w:spacing w:line="360" w:lineRule="auto"/>
        <w:ind w:firstLine="560" w:firstLineChars="200"/>
        <w:jc w:val="left"/>
        <w:rPr>
          <w:rFonts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Times New Roman"/>
          <w:sz w:val="28"/>
          <w:szCs w:val="28"/>
          <w:lang w:val="zh-CN"/>
        </w:rPr>
        <w:t>.</w:t>
      </w:r>
      <w:r>
        <w:rPr>
          <w:rFonts w:hint="eastAsia" w:ascii="仿宋" w:hAnsi="仿宋" w:eastAsia="仿宋" w:cs="仿宋"/>
          <w:sz w:val="28"/>
          <w:szCs w:val="28"/>
          <w:lang w:val="zh-CN"/>
        </w:rPr>
        <w:t>磋商结束后，供应商就所有内容进行最终报价，少报无效。</w:t>
      </w:r>
    </w:p>
    <w:p>
      <w:pPr>
        <w:widowControl/>
        <w:shd w:val="clear" w:color="auto" w:fill="FFFFFF"/>
        <w:spacing w:line="360" w:lineRule="auto"/>
        <w:ind w:firstLine="560" w:firstLineChars="200"/>
        <w:jc w:val="left"/>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Times New Roman"/>
          <w:sz w:val="28"/>
          <w:szCs w:val="28"/>
          <w:lang w:val="zh-CN"/>
        </w:rPr>
        <w:t>.</w:t>
      </w:r>
      <w:r>
        <w:rPr>
          <w:rFonts w:hint="eastAsia" w:ascii="仿宋" w:hAnsi="仿宋" w:eastAsia="仿宋" w:cs="仿宋"/>
          <w:sz w:val="28"/>
          <w:szCs w:val="28"/>
          <w:lang w:val="zh-CN"/>
        </w:rPr>
        <w:t>最后报价应包括本项目的全部费用（含一切必须的辅助材料费用）及相关服务费等。</w:t>
      </w:r>
    </w:p>
    <w:p>
      <w:pPr>
        <w:widowControl/>
        <w:shd w:val="clear" w:color="auto" w:fill="FFFFFF"/>
        <w:spacing w:line="360" w:lineRule="auto"/>
        <w:ind w:firstLine="562" w:firstLineChars="200"/>
        <w:jc w:val="left"/>
        <w:rPr>
          <w:rFonts w:ascii="仿宋" w:hAnsi="仿宋" w:eastAsia="仿宋" w:cs="仿宋"/>
          <w:b/>
          <w:sz w:val="28"/>
          <w:szCs w:val="28"/>
          <w:lang w:val="zh-CN"/>
        </w:rPr>
      </w:pPr>
      <w:r>
        <w:rPr>
          <w:rFonts w:hint="eastAsia" w:ascii="仿宋" w:hAnsi="仿宋" w:eastAsia="仿宋" w:cs="仿宋"/>
          <w:b/>
          <w:sz w:val="28"/>
          <w:szCs w:val="28"/>
          <w:lang w:val="zh-CN"/>
        </w:rPr>
        <w:t>3.最终报价不得超过预算，不得超过首次报价。</w:t>
      </w:r>
    </w:p>
    <w:p>
      <w:pPr>
        <w:widowControl/>
        <w:shd w:val="clear" w:color="auto" w:fill="FFFFFF"/>
        <w:spacing w:line="360" w:lineRule="auto"/>
        <w:ind w:firstLine="560" w:firstLineChars="200"/>
        <w:jc w:val="left"/>
        <w:rPr>
          <w:rFonts w:ascii="仿宋" w:hAnsi="仿宋" w:eastAsia="仿宋" w:cs="仿宋"/>
          <w:sz w:val="28"/>
          <w:szCs w:val="28"/>
          <w:lang w:val="zh-CN"/>
        </w:rPr>
      </w:pPr>
      <w:r>
        <w:rPr>
          <w:rFonts w:hint="eastAsia" w:ascii="仿宋" w:hAnsi="仿宋" w:eastAsia="仿宋" w:cs="仿宋"/>
          <w:sz w:val="28"/>
          <w:szCs w:val="28"/>
          <w:lang w:val="zh-CN"/>
        </w:rPr>
        <w:t>4</w:t>
      </w:r>
      <w:r>
        <w:rPr>
          <w:rFonts w:hint="eastAsia" w:ascii="仿宋" w:hAnsi="仿宋" w:eastAsia="仿宋" w:cs="Times New Roman"/>
          <w:sz w:val="28"/>
          <w:szCs w:val="28"/>
          <w:lang w:val="zh-CN"/>
        </w:rPr>
        <w:t>.</w:t>
      </w:r>
      <w:r>
        <w:rPr>
          <w:rFonts w:hint="eastAsia" w:ascii="仿宋" w:hAnsi="仿宋" w:eastAsia="仿宋" w:cs="仿宋"/>
          <w:sz w:val="28"/>
          <w:szCs w:val="28"/>
          <w:lang w:val="zh-CN"/>
        </w:rPr>
        <w:t>最后报价将作为磋商小组评定成交供应商的组成依据。</w:t>
      </w:r>
    </w:p>
    <w:p>
      <w:pPr>
        <w:widowControl/>
        <w:shd w:val="clear" w:color="auto" w:fill="FFFFFF"/>
        <w:spacing w:line="360" w:lineRule="auto"/>
        <w:ind w:firstLine="562" w:firstLineChars="200"/>
        <w:jc w:val="left"/>
        <w:rPr>
          <w:rFonts w:ascii="仿宋" w:hAnsi="仿宋" w:eastAsia="仿宋" w:cs="仿宋"/>
          <w:b/>
          <w:sz w:val="28"/>
          <w:szCs w:val="28"/>
          <w:lang w:val="zh-CN"/>
        </w:rPr>
      </w:pPr>
      <w:r>
        <w:rPr>
          <w:rFonts w:hint="eastAsia" w:ascii="仿宋" w:hAnsi="仿宋" w:eastAsia="仿宋" w:cs="仿宋"/>
          <w:b/>
          <w:sz w:val="28"/>
          <w:szCs w:val="28"/>
          <w:lang w:val="zh-CN"/>
        </w:rPr>
        <w:t>5.供应商提交的最终报价明显低于其他通过符合性审查供应商的报价，有可能影响产品质量或者不能诚信履约的，应当在评标现场合理的时间内（一般为10分钟，特殊情况下可申请延长）提供书面说明，提交相关证明材料；供应商不能证明其报价合理性的，评标委员会应当将其作为无效投标处理。</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六、响应文件的递交时间</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供应商必须在规定的响应文件接收截止时间前送达指定地点。招标代理机构将拒绝接收在响应文件接收截止时间后递交的响应文件。</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lang w:val="zh-CN"/>
        </w:rPr>
        <w:t>七、</w:t>
      </w:r>
      <w:r>
        <w:rPr>
          <w:rFonts w:hint="eastAsia" w:ascii="仿宋" w:hAnsi="仿宋" w:eastAsia="仿宋" w:cs="仿宋"/>
          <w:b/>
          <w:sz w:val="28"/>
          <w:szCs w:val="28"/>
        </w:rPr>
        <w:t>保证金退还</w:t>
      </w:r>
    </w:p>
    <w:p>
      <w:pPr>
        <w:widowControl/>
        <w:shd w:val="clear" w:color="auto" w:fill="FFFFFF"/>
        <w:spacing w:line="360" w:lineRule="auto"/>
        <w:ind w:firstLine="562" w:firstLineChars="200"/>
        <w:jc w:val="left"/>
        <w:rPr>
          <w:rFonts w:ascii="仿宋" w:hAnsi="仿宋" w:eastAsia="仿宋" w:cs="仿宋"/>
          <w:sz w:val="28"/>
          <w:szCs w:val="28"/>
        </w:rPr>
      </w:pPr>
      <w:r>
        <w:rPr>
          <w:rFonts w:hint="eastAsia" w:ascii="仿宋" w:hAnsi="仿宋" w:eastAsia="仿宋" w:cs="仿宋"/>
          <w:b/>
          <w:sz w:val="28"/>
          <w:szCs w:val="28"/>
        </w:rPr>
        <w:t>未成交的供应商保证金在项目磋商活动完成后5个工作日内原额退还；</w:t>
      </w:r>
      <w:r>
        <w:rPr>
          <w:rFonts w:hint="eastAsia" w:ascii="仿宋" w:hAnsi="仿宋" w:eastAsia="仿宋" w:cs="仿宋"/>
          <w:sz w:val="28"/>
          <w:szCs w:val="28"/>
        </w:rPr>
        <w:t>成交供应商保证金在采购合同签订后5个工作日内原额退还。</w:t>
      </w:r>
    </w:p>
    <w:p>
      <w:pPr>
        <w:widowControl/>
        <w:shd w:val="clear" w:color="auto" w:fill="FFFFFF"/>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有下列情形之一的，保证金不予退还：</w:t>
      </w:r>
    </w:p>
    <w:p>
      <w:pPr>
        <w:widowControl/>
        <w:shd w:val="clear" w:color="auto" w:fill="FFFFFF"/>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（一）供应商在提交响应文件截止时间后撤回响应文件的；</w:t>
      </w:r>
    </w:p>
    <w:p>
      <w:pPr>
        <w:widowControl/>
        <w:shd w:val="clear" w:color="auto" w:fill="FFFFFF"/>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（二）供应商在响应文件中提供虚假材料的；</w:t>
      </w:r>
    </w:p>
    <w:p>
      <w:pPr>
        <w:widowControl/>
        <w:shd w:val="clear" w:color="auto" w:fill="FFFFFF"/>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（三）除因不可抗力或磋商文件认可的情形以外，成交供应商不与采购人签订合同的；</w:t>
      </w:r>
    </w:p>
    <w:p>
      <w:pPr>
        <w:widowControl/>
        <w:shd w:val="clear" w:color="auto" w:fill="FFFFFF"/>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（四）供应商与采购人、其他供应商或者采购代理恶意串通的；</w:t>
      </w:r>
    </w:p>
    <w:p>
      <w:pPr>
        <w:widowControl/>
        <w:shd w:val="clear" w:color="auto" w:fill="FFFFFF"/>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（五）磋商文件规定的其他情形。</w:t>
      </w:r>
    </w:p>
    <w:p>
      <w:pPr>
        <w:widowControl/>
        <w:shd w:val="clear" w:color="auto" w:fill="FFFFFF"/>
        <w:spacing w:line="360" w:lineRule="auto"/>
        <w:ind w:firstLine="562" w:firstLineChars="200"/>
        <w:jc w:val="left"/>
        <w:rPr>
          <w:rFonts w:ascii="仿宋" w:hAnsi="仿宋" w:eastAsia="仿宋" w:cs="仿宋"/>
          <w:b/>
          <w:kern w:val="0"/>
          <w:sz w:val="28"/>
          <w:szCs w:val="28"/>
        </w:rPr>
      </w:pPr>
      <w:r>
        <w:rPr>
          <w:rFonts w:hint="eastAsia" w:ascii="仿宋" w:hAnsi="仿宋" w:eastAsia="仿宋" w:cs="仿宋"/>
          <w:b/>
          <w:kern w:val="0"/>
          <w:sz w:val="28"/>
          <w:szCs w:val="28"/>
        </w:rPr>
        <w:t>供应商在磋商规定开始时间无故迟到的，本代理机构有权收取其保证金的20%作为违约金。</w:t>
      </w:r>
    </w:p>
    <w:p>
      <w:pPr>
        <w:widowControl/>
        <w:shd w:val="clear" w:color="auto" w:fill="FFFFFF"/>
        <w:spacing w:line="360" w:lineRule="auto"/>
        <w:ind w:firstLine="560" w:firstLineChars="200"/>
        <w:jc w:val="left"/>
        <w:rPr>
          <w:rFonts w:ascii="仿宋" w:hAnsi="仿宋" w:eastAsia="仿宋" w:cs="仿宋"/>
          <w:sz w:val="28"/>
          <w:szCs w:val="24"/>
        </w:rPr>
      </w:pPr>
      <w:r>
        <w:rPr>
          <w:rFonts w:hint="eastAsia" w:ascii="仿宋" w:hAnsi="仿宋" w:eastAsia="仿宋" w:cs="仿宋"/>
          <w:sz w:val="28"/>
          <w:szCs w:val="24"/>
        </w:rPr>
        <w:t>已提交响应文件的供应商，在提交最后报价之前，可以根据磋商情况退出磋商。本</w:t>
      </w:r>
      <w:r>
        <w:rPr>
          <w:rFonts w:hint="eastAsia" w:ascii="仿宋" w:hAnsi="仿宋" w:eastAsia="仿宋" w:cs="仿宋"/>
          <w:sz w:val="28"/>
          <w:szCs w:val="28"/>
        </w:rPr>
        <w:t>代理机构</w:t>
      </w:r>
      <w:r>
        <w:rPr>
          <w:rFonts w:hint="eastAsia" w:ascii="仿宋" w:hAnsi="仿宋" w:eastAsia="仿宋" w:cs="仿宋"/>
          <w:sz w:val="28"/>
          <w:szCs w:val="24"/>
        </w:rPr>
        <w:t>应当退还退出磋商的供应商的保证金。</w:t>
      </w:r>
    </w:p>
    <w:p>
      <w:pPr>
        <w:widowControl/>
        <w:shd w:val="clear" w:color="auto" w:fill="FFFFFF"/>
        <w:spacing w:line="360" w:lineRule="auto"/>
        <w:ind w:firstLine="562" w:firstLineChars="200"/>
        <w:jc w:val="left"/>
        <w:rPr>
          <w:rFonts w:ascii="仿宋" w:hAnsi="仿宋" w:eastAsia="仿宋" w:cs="仿宋"/>
          <w:sz w:val="28"/>
          <w:szCs w:val="28"/>
        </w:rPr>
      </w:pPr>
      <w:r>
        <w:rPr>
          <w:rFonts w:hint="eastAsia" w:ascii="仿宋" w:hAnsi="仿宋" w:eastAsia="仿宋" w:cs="仿宋"/>
          <w:b/>
          <w:bCs/>
          <w:sz w:val="28"/>
          <w:szCs w:val="28"/>
        </w:rPr>
        <w:t>八、相关费用</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1.供应商承担参与磋商可能发生的全部费用，本招标代理在任何情况下均无义务和责任承担这些费用。</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2.采购人不收取任何费用。依据财政部《政府采购代理机构管理暂行办法》第十五条规定，约定由成交供应商向招标代理机构支付代理服务费。代理服务费计取金额按照发改价格[2011]534号文规定标准计算（</w:t>
      </w:r>
      <w:r>
        <w:rPr>
          <w:rFonts w:hint="eastAsia" w:ascii="仿宋" w:hAnsi="仿宋" w:eastAsia="仿宋" w:cs="仿宋"/>
          <w:color w:val="FF0000"/>
          <w:sz w:val="28"/>
          <w:szCs w:val="28"/>
        </w:rPr>
        <w:t>按中标价1.2%计算，不足3000元按照3000元收取</w:t>
      </w:r>
      <w:r>
        <w:rPr>
          <w:rFonts w:hint="eastAsia" w:ascii="仿宋" w:hAnsi="仿宋" w:eastAsia="仿宋" w:cs="仿宋"/>
          <w:sz w:val="28"/>
          <w:szCs w:val="28"/>
        </w:rPr>
        <w:t>），此项费用含在投标报价中，并不单独立项，由成交供应商在取得中标通知前，向招标代理机构一次付清。</w:t>
      </w:r>
    </w:p>
    <w:p>
      <w:pPr>
        <w:spacing w:line="360" w:lineRule="auto"/>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br w:type="page"/>
      </w:r>
    </w:p>
    <w:p>
      <w:pPr>
        <w:pStyle w:val="2"/>
        <w:spacing w:before="159" w:beforeLines="50" w:after="159" w:afterLines="50" w:line="360" w:lineRule="auto"/>
        <w:jc w:val="center"/>
        <w:rPr>
          <w:rFonts w:ascii="仿宋" w:hAnsi="仿宋" w:eastAsia="仿宋"/>
        </w:rPr>
      </w:pPr>
      <w:r>
        <w:rPr>
          <w:rFonts w:hint="eastAsia" w:ascii="仿宋" w:hAnsi="仿宋" w:eastAsia="仿宋"/>
        </w:rPr>
        <w:t>第三部分 项目需求</w:t>
      </w:r>
    </w:p>
    <w:p>
      <w:pPr>
        <w:widowControl/>
        <w:shd w:val="clear" w:color="auto" w:fill="FFFFFF"/>
        <w:spacing w:line="360" w:lineRule="auto"/>
        <w:ind w:firstLine="562" w:firstLineChars="200"/>
        <w:jc w:val="left"/>
        <w:rPr>
          <w:rFonts w:ascii="仿宋" w:hAnsi="仿宋" w:eastAsia="仿宋" w:cs="仿宋"/>
          <w:sz w:val="28"/>
          <w:szCs w:val="28"/>
        </w:rPr>
      </w:pPr>
      <w:r>
        <w:rPr>
          <w:rFonts w:hint="eastAsia" w:ascii="仿宋" w:hAnsi="仿宋" w:eastAsia="仿宋" w:cs="仿宋"/>
          <w:b/>
          <w:sz w:val="28"/>
          <w:szCs w:val="28"/>
        </w:rPr>
        <w:t>请供应商在响应前和制作响应文件时仔细研究项目需求说明。</w:t>
      </w:r>
      <w:r>
        <w:rPr>
          <w:rFonts w:hint="eastAsia" w:ascii="仿宋" w:hAnsi="仿宋" w:eastAsia="仿宋" w:cs="仿宋"/>
          <w:sz w:val="28"/>
          <w:szCs w:val="28"/>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务部分正负偏离表》和《技术部分正负偏离表》上明示，如不明示的视同完全响应。</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一、有关要求说明（货物、服务、工程类通用说明）</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1.主要技术参数：为鼓励不同品牌的充分竞争，如某主要技术参数属于个别品牌专有，则该主要技术参数不具有限制性，供应商可对该参数进行适当调整，并说明调整的理由。</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2.关于建议品牌：</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项目中的建议品牌，只是建议所采购产品（设备）的档次。供应商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当三分之二评委认定，所选品牌档次低于建议品牌档次的，将作无效响应处理。</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二、项目采购具体需求</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本项目建设为南通市文化广电和旅游局指挥中心显示硬件及会议系统建设项目，包括LED大屏建设以及配套的结构及屏幕装饰收边。本项目主要建设内容概述如下，具体详见清单：</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1.屏体建设</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新建屏体情况：综合考虑当前市场主流大屏显示技术及会议室显示效果等因素，本次大屏显示系统采用P1.8室内全彩小间距LED显示屏，实现无缝拼接显示。可以实现图像画面任意拼接，叠加，漫游等多种组合混合显示应用。根据行业头部厂商通用显示箱体大小测算显示屏体净显示尺寸长约4.8m,高约1.92m，屏体总面积约9.216平米。详细尺寸和面积根据厂商具体投标产品箱体实际尺寸计算确定。</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2.大屏支架及周边装饰</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主屏结构支架采用分段组合方式安装，支撑整个显示单元屏体。支架结构稳定牢固，安全可靠，屏体维护采用前维护方式，支架的现场安装与装饰作业配合，装饰包边材料待定。</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屏左右两侧根据现场实际进行修补拼接，顶部与会议室吊顶进行修补拼接，采用装饰板材与会议室保持一致风格，具体工作量由投标方现场勘察后自行报价。</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3.视频会议室</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考虑与省文旅厅视频会议系统对接，本次采购华为视频会议设备一套，视频会议账号由市文化广电和旅游局提供。</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三、相关配置、质量及技术要求</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1.LED显示屏</w:t>
      </w:r>
    </w:p>
    <w:p>
      <w:pPr>
        <w:numPr>
          <w:ilvl w:val="0"/>
          <w:numId w:val="1"/>
        </w:numPr>
        <w:spacing w:line="360" w:lineRule="auto"/>
        <w:ind w:left="0" w:firstLine="567"/>
        <w:rPr>
          <w:rFonts w:ascii="仿宋" w:hAnsi="仿宋" w:eastAsia="仿宋" w:cs="宋体"/>
          <w:sz w:val="28"/>
          <w:szCs w:val="28"/>
        </w:rPr>
      </w:pPr>
      <w:r>
        <w:rPr>
          <w:rFonts w:hint="eastAsia" w:ascii="仿宋" w:hAnsi="仿宋" w:eastAsia="仿宋" w:cs="宋体"/>
          <w:sz w:val="28"/>
          <w:szCs w:val="28"/>
        </w:rPr>
        <w:t>★厂商要求：LED显示屏生产厂家必须是LED显示屏研发、生产制造一体化厂商，不接受贴牌（OEM）设备，需提供制造厂商的营业执照副本复印件加盖投标人公章。</w:t>
      </w:r>
    </w:p>
    <w:p>
      <w:pPr>
        <w:numPr>
          <w:ilvl w:val="0"/>
          <w:numId w:val="1"/>
        </w:numPr>
        <w:spacing w:line="360" w:lineRule="auto"/>
        <w:ind w:left="0" w:firstLine="567"/>
        <w:rPr>
          <w:rFonts w:ascii="仿宋" w:hAnsi="仿宋" w:eastAsia="仿宋" w:cs="宋体"/>
          <w:sz w:val="28"/>
          <w:szCs w:val="28"/>
        </w:rPr>
      </w:pPr>
      <w:r>
        <w:rPr>
          <w:rFonts w:hint="eastAsia" w:ascii="仿宋" w:hAnsi="仿宋" w:eastAsia="仿宋" w:cs="宋体"/>
          <w:sz w:val="28"/>
          <w:szCs w:val="28"/>
        </w:rPr>
        <w:t xml:space="preserve">显示尺寸：长4.8m*高1.92m，整屏分辨率：长2580*高1024；  </w:t>
      </w:r>
    </w:p>
    <w:p>
      <w:pPr>
        <w:numPr>
          <w:ilvl w:val="0"/>
          <w:numId w:val="1"/>
        </w:numPr>
        <w:spacing w:line="360" w:lineRule="auto"/>
        <w:ind w:left="0" w:firstLine="567"/>
        <w:rPr>
          <w:rFonts w:ascii="仿宋" w:hAnsi="仿宋" w:eastAsia="仿宋" w:cs="宋体"/>
          <w:sz w:val="28"/>
          <w:szCs w:val="28"/>
        </w:rPr>
      </w:pPr>
      <w:r>
        <w:rPr>
          <w:rFonts w:hint="eastAsia" w:ascii="仿宋" w:hAnsi="仿宋" w:eastAsia="仿宋" w:cs="宋体"/>
          <w:sz w:val="28"/>
          <w:szCs w:val="28"/>
        </w:rPr>
        <w:t>全彩单元板显示效果清晰细腻、分辨率可达到 1080P 以上；实现高刷新率、高灰阶及较高灯管利用率；无残影、防“毛毛虫” 、低功耗、低突波等；像素间距：≤1.875 mm,点密度 ：≥284444点/㎡,封装要求：1R1G1B-SMD1515黑灯；</w:t>
      </w:r>
    </w:p>
    <w:p>
      <w:pPr>
        <w:numPr>
          <w:ilvl w:val="0"/>
          <w:numId w:val="1"/>
        </w:numPr>
        <w:spacing w:line="360" w:lineRule="auto"/>
        <w:ind w:left="0" w:firstLine="567"/>
        <w:rPr>
          <w:rFonts w:ascii="仿宋" w:hAnsi="仿宋" w:eastAsia="仿宋" w:cs="宋体"/>
          <w:sz w:val="28"/>
          <w:szCs w:val="28"/>
        </w:rPr>
      </w:pPr>
      <w:r>
        <w:rPr>
          <w:rFonts w:hint="eastAsia" w:ascii="仿宋" w:hAnsi="仿宋" w:eastAsia="仿宋" w:cs="宋体"/>
          <w:sz w:val="28"/>
          <w:szCs w:val="28"/>
        </w:rPr>
        <w:t xml:space="preserve">像素中心距精度：≤1.875±0.06mm；外观：外表面无明显划痕；自动校正：数据采集自动共享到网上，客户可自动下载校正数据，进行校正和优化；调节功能：可通过系统调节参数影响显示效果；支持亮度调节功能；套件材质：采用聚碳酸酯和玻璃纤维；  </w:t>
      </w:r>
    </w:p>
    <w:p>
      <w:pPr>
        <w:numPr>
          <w:ilvl w:val="0"/>
          <w:numId w:val="1"/>
        </w:numPr>
        <w:spacing w:line="360" w:lineRule="auto"/>
        <w:ind w:left="0" w:firstLine="567"/>
        <w:rPr>
          <w:rFonts w:ascii="仿宋" w:hAnsi="仿宋" w:eastAsia="仿宋" w:cs="宋体"/>
          <w:sz w:val="28"/>
          <w:szCs w:val="28"/>
        </w:rPr>
      </w:pPr>
      <w:r>
        <w:rPr>
          <w:rFonts w:hint="eastAsia" w:ascii="仿宋" w:hAnsi="仿宋" w:eastAsia="仿宋" w:cs="宋体"/>
          <w:sz w:val="28"/>
          <w:szCs w:val="28"/>
        </w:rPr>
        <w:t>亮度:≥880cd/㎡，亮度为20%时信号处理深度可达到16bit；最高对比度：＞5180:4:1；亮度均匀性：＞98%；</w:t>
      </w:r>
    </w:p>
    <w:p>
      <w:pPr>
        <w:numPr>
          <w:ilvl w:val="0"/>
          <w:numId w:val="1"/>
        </w:numPr>
        <w:spacing w:line="360" w:lineRule="auto"/>
        <w:ind w:left="0" w:firstLine="567"/>
        <w:rPr>
          <w:rFonts w:ascii="仿宋" w:hAnsi="仿宋" w:eastAsia="仿宋" w:cs="宋体"/>
          <w:sz w:val="28"/>
          <w:szCs w:val="28"/>
        </w:rPr>
      </w:pPr>
      <w:r>
        <w:rPr>
          <w:rFonts w:hint="eastAsia" w:ascii="仿宋" w:hAnsi="仿宋" w:eastAsia="仿宋" w:cs="宋体"/>
          <w:sz w:val="28"/>
          <w:szCs w:val="28"/>
        </w:rPr>
        <w:t xml:space="preserve">水平/垂直视角：≥150°/140°，色温：3000-18000K可调；宽色域：≥117%NTSC；灰度级数：≥16bit；刷新率：≥3840Hz，换帧频率：≥60Hz；像素点失控率：0；平整度：≤0.15mm；                                                  </w:t>
      </w:r>
    </w:p>
    <w:p>
      <w:pPr>
        <w:numPr>
          <w:ilvl w:val="0"/>
          <w:numId w:val="1"/>
        </w:numPr>
        <w:spacing w:line="360" w:lineRule="auto"/>
        <w:ind w:left="0" w:firstLine="567"/>
        <w:rPr>
          <w:rFonts w:ascii="仿宋" w:hAnsi="仿宋" w:eastAsia="仿宋" w:cs="宋体"/>
          <w:sz w:val="28"/>
          <w:szCs w:val="28"/>
        </w:rPr>
      </w:pPr>
      <w:r>
        <w:rPr>
          <w:rFonts w:hint="eastAsia" w:ascii="仿宋" w:hAnsi="仿宋" w:eastAsia="仿宋" w:cs="宋体"/>
          <w:sz w:val="28"/>
          <w:szCs w:val="28"/>
        </w:rPr>
        <w:t>最大功率：≤570W/㎡，平均功耗：≤190W/㎡，工作电压：在4.5×（1±10%）VDC范围内能正常工作，平均无故障时间：≥10000小时，防尘等级：IP5X，工作环境温度：-20℃-50℃，；</w:t>
      </w:r>
    </w:p>
    <w:p>
      <w:pPr>
        <w:numPr>
          <w:ilvl w:val="0"/>
          <w:numId w:val="1"/>
        </w:numPr>
        <w:spacing w:line="360" w:lineRule="auto"/>
        <w:ind w:left="0" w:firstLine="567"/>
        <w:rPr>
          <w:rFonts w:ascii="仿宋" w:hAnsi="仿宋" w:eastAsia="仿宋" w:cs="宋体"/>
          <w:sz w:val="28"/>
          <w:szCs w:val="28"/>
        </w:rPr>
      </w:pPr>
      <w:r>
        <w:rPr>
          <w:rFonts w:hint="eastAsia" w:ascii="仿宋" w:hAnsi="仿宋" w:eastAsia="仿宋" w:cs="宋体"/>
          <w:sz w:val="28"/>
          <w:szCs w:val="28"/>
        </w:rPr>
        <w:t>一体化驱动主板设计，有自带驱动控制的LED显示单元及其生产方法的技术证书。</w:t>
      </w:r>
    </w:p>
    <w:p>
      <w:pPr>
        <w:numPr>
          <w:ilvl w:val="0"/>
          <w:numId w:val="1"/>
        </w:numPr>
        <w:spacing w:line="360" w:lineRule="auto"/>
        <w:ind w:left="0" w:firstLine="567"/>
        <w:rPr>
          <w:rFonts w:ascii="仿宋" w:hAnsi="仿宋" w:eastAsia="仿宋" w:cs="宋体"/>
          <w:sz w:val="28"/>
          <w:szCs w:val="28"/>
        </w:rPr>
      </w:pPr>
      <w:r>
        <w:rPr>
          <w:rFonts w:hint="eastAsia" w:ascii="仿宋" w:hAnsi="仿宋" w:eastAsia="仿宋" w:cs="宋体"/>
          <w:sz w:val="28"/>
          <w:szCs w:val="28"/>
        </w:rPr>
        <w:t>显示屏制造商具有ISO20000信息技术服务管理体系认证，提供证书复印件加盖厂商公章（成交3个工作日内，签订合同前需提供）；</w:t>
      </w:r>
    </w:p>
    <w:p>
      <w:pPr>
        <w:numPr>
          <w:ilvl w:val="0"/>
          <w:numId w:val="1"/>
        </w:numPr>
        <w:spacing w:line="360" w:lineRule="auto"/>
        <w:ind w:left="0" w:firstLine="567"/>
        <w:rPr>
          <w:rFonts w:ascii="仿宋" w:hAnsi="仿宋" w:eastAsia="仿宋" w:cs="宋体"/>
          <w:sz w:val="28"/>
          <w:szCs w:val="28"/>
        </w:rPr>
      </w:pPr>
      <w:r>
        <w:rPr>
          <w:rFonts w:hint="eastAsia" w:ascii="仿宋" w:hAnsi="仿宋" w:eastAsia="仿宋" w:cs="宋体"/>
          <w:sz w:val="28"/>
          <w:szCs w:val="28"/>
        </w:rPr>
        <w:t xml:space="preserve">显示屏制造商具有ISO27001信息安全管理体系资质，提供证书复印件加盖厂商公章（成交3个工作日内，签订合同前需提供）； </w:t>
      </w:r>
    </w:p>
    <w:p>
      <w:pPr>
        <w:numPr>
          <w:ilvl w:val="0"/>
          <w:numId w:val="1"/>
        </w:numPr>
        <w:spacing w:line="360" w:lineRule="auto"/>
        <w:ind w:left="0" w:firstLine="567"/>
        <w:rPr>
          <w:rFonts w:ascii="仿宋" w:hAnsi="仿宋" w:eastAsia="仿宋" w:cs="宋体"/>
          <w:sz w:val="28"/>
          <w:szCs w:val="28"/>
        </w:rPr>
      </w:pPr>
      <w:r>
        <w:rPr>
          <w:rFonts w:hint="eastAsia" w:ascii="仿宋" w:hAnsi="仿宋" w:eastAsia="仿宋" w:cs="宋体"/>
          <w:sz w:val="28"/>
          <w:szCs w:val="28"/>
        </w:rPr>
        <w:t>显示屏制造商具有建筑装修装饰工程专业承包贰级认证证书，提供证书复印件加盖厂商公章（成交3个工作日内，签订合同前需提供）；</w:t>
      </w:r>
    </w:p>
    <w:p>
      <w:pPr>
        <w:numPr>
          <w:ilvl w:val="0"/>
          <w:numId w:val="1"/>
        </w:numPr>
        <w:spacing w:line="360" w:lineRule="auto"/>
        <w:ind w:left="0" w:firstLine="567"/>
        <w:rPr>
          <w:rFonts w:ascii="仿宋" w:hAnsi="仿宋" w:eastAsia="仿宋" w:cs="宋体"/>
          <w:sz w:val="28"/>
          <w:szCs w:val="28"/>
        </w:rPr>
      </w:pPr>
      <w:r>
        <w:rPr>
          <w:rFonts w:hint="eastAsia" w:ascii="仿宋" w:hAnsi="仿宋" w:eastAsia="仿宋" w:cs="宋体"/>
          <w:sz w:val="28"/>
          <w:szCs w:val="28"/>
        </w:rPr>
        <w:t>显示屏商具有建筑机电安装工程专业承包叁级认证证书，提供证书复印件加盖厂商公章（成交3个工作日内，签订合同前需提供）</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2.控制系统</w:t>
      </w:r>
    </w:p>
    <w:p>
      <w:pPr>
        <w:ind w:firstLine="565" w:firstLineChars="202"/>
        <w:rPr>
          <w:rFonts w:ascii="仿宋" w:hAnsi="仿宋" w:eastAsia="仿宋"/>
          <w:sz w:val="28"/>
          <w:szCs w:val="28"/>
        </w:rPr>
      </w:pPr>
      <w:r>
        <w:rPr>
          <w:rFonts w:hint="eastAsia" w:ascii="仿宋" w:hAnsi="仿宋" w:eastAsia="仿宋"/>
          <w:sz w:val="28"/>
          <w:szCs w:val="28"/>
        </w:rPr>
        <w:t>控制系统-发送</w:t>
      </w:r>
    </w:p>
    <w:p>
      <w:pPr>
        <w:ind w:firstLine="565" w:firstLineChars="202"/>
        <w:rPr>
          <w:rFonts w:ascii="仿宋" w:hAnsi="仿宋" w:eastAsia="仿宋"/>
          <w:bCs/>
          <w:sz w:val="28"/>
          <w:szCs w:val="28"/>
        </w:rPr>
      </w:pPr>
      <w:r>
        <w:rPr>
          <w:rFonts w:hint="eastAsia" w:ascii="仿宋" w:hAnsi="仿宋" w:eastAsia="仿宋"/>
          <w:bCs/>
          <w:sz w:val="28"/>
          <w:szCs w:val="28"/>
        </w:rPr>
        <w:t>一路DVI信号接口输入；</w:t>
      </w:r>
    </w:p>
    <w:p>
      <w:pPr>
        <w:ind w:firstLine="565" w:firstLineChars="202"/>
        <w:rPr>
          <w:rFonts w:ascii="仿宋" w:hAnsi="仿宋" w:eastAsia="仿宋"/>
          <w:bCs/>
          <w:sz w:val="28"/>
          <w:szCs w:val="28"/>
        </w:rPr>
      </w:pPr>
      <w:r>
        <w:rPr>
          <w:rFonts w:hint="eastAsia" w:ascii="仿宋" w:hAnsi="仿宋" w:eastAsia="仿宋"/>
          <w:bCs/>
          <w:sz w:val="28"/>
          <w:szCs w:val="28"/>
        </w:rPr>
        <w:t>RJ45网络接口输出；</w:t>
      </w:r>
    </w:p>
    <w:p>
      <w:pPr>
        <w:ind w:firstLine="565" w:firstLineChars="202"/>
        <w:rPr>
          <w:rFonts w:ascii="仿宋" w:hAnsi="仿宋" w:eastAsia="仿宋"/>
          <w:bCs/>
          <w:sz w:val="28"/>
          <w:szCs w:val="28"/>
        </w:rPr>
      </w:pPr>
      <w:r>
        <w:rPr>
          <w:rFonts w:hint="eastAsia" w:ascii="仿宋" w:hAnsi="仿宋" w:eastAsia="仿宋"/>
          <w:bCs/>
          <w:sz w:val="28"/>
          <w:szCs w:val="28"/>
        </w:rPr>
        <w:t>USB 3.0接口控制，可级联多台进行统一控制；</w:t>
      </w:r>
    </w:p>
    <w:p>
      <w:pPr>
        <w:ind w:firstLine="565" w:firstLineChars="202"/>
        <w:rPr>
          <w:rFonts w:ascii="仿宋" w:hAnsi="仿宋" w:eastAsia="仿宋"/>
          <w:bCs/>
          <w:sz w:val="28"/>
          <w:szCs w:val="28"/>
        </w:rPr>
      </w:pPr>
      <w:r>
        <w:rPr>
          <w:rFonts w:hint="eastAsia" w:ascii="仿宋" w:hAnsi="仿宋" w:eastAsia="仿宋"/>
          <w:bCs/>
          <w:sz w:val="28"/>
          <w:szCs w:val="28"/>
        </w:rPr>
        <w:t>一路光探头接口输入；</w:t>
      </w:r>
    </w:p>
    <w:p>
      <w:pPr>
        <w:ind w:firstLine="565" w:firstLineChars="202"/>
        <w:rPr>
          <w:rFonts w:ascii="仿宋" w:hAnsi="仿宋" w:eastAsia="仿宋"/>
          <w:bCs/>
          <w:sz w:val="28"/>
          <w:szCs w:val="28"/>
        </w:rPr>
      </w:pPr>
      <w:r>
        <w:rPr>
          <w:rFonts w:hint="eastAsia" w:ascii="仿宋" w:hAnsi="仿宋" w:eastAsia="仿宋"/>
          <w:bCs/>
          <w:sz w:val="28"/>
          <w:szCs w:val="28"/>
        </w:rPr>
        <w:t>独立电源供电，额定工作电压：AC220V，60Hz；</w:t>
      </w:r>
    </w:p>
    <w:p>
      <w:pPr>
        <w:ind w:firstLine="565" w:firstLineChars="202"/>
        <w:rPr>
          <w:rFonts w:ascii="仿宋" w:hAnsi="仿宋" w:eastAsia="仿宋"/>
          <w:bCs/>
          <w:sz w:val="28"/>
          <w:szCs w:val="28"/>
        </w:rPr>
      </w:pPr>
      <w:r>
        <w:rPr>
          <w:rFonts w:hint="eastAsia" w:ascii="仿宋" w:hAnsi="仿宋" w:eastAsia="仿宋"/>
          <w:bCs/>
          <w:sz w:val="28"/>
          <w:szCs w:val="28"/>
        </w:rPr>
        <w:t>支持高位阶视频输入16位颜色；</w:t>
      </w:r>
    </w:p>
    <w:p>
      <w:pPr>
        <w:ind w:firstLine="565" w:firstLineChars="202"/>
        <w:rPr>
          <w:rFonts w:ascii="仿宋" w:hAnsi="仿宋" w:eastAsia="仿宋"/>
          <w:b/>
          <w:bCs/>
          <w:sz w:val="28"/>
          <w:szCs w:val="28"/>
        </w:rPr>
      </w:pPr>
      <w:r>
        <w:rPr>
          <w:rFonts w:hint="eastAsia" w:ascii="仿宋" w:hAnsi="仿宋" w:eastAsia="仿宋"/>
          <w:bCs/>
          <w:sz w:val="28"/>
          <w:szCs w:val="28"/>
        </w:rPr>
        <w:t>额定功率：2.5W; 8）工作环境温度：-20℃~75℃。</w:t>
      </w:r>
    </w:p>
    <w:p>
      <w:pPr>
        <w:ind w:firstLine="565" w:firstLineChars="202"/>
        <w:rPr>
          <w:rFonts w:ascii="仿宋" w:hAnsi="仿宋" w:eastAsia="仿宋"/>
          <w:sz w:val="28"/>
          <w:szCs w:val="28"/>
        </w:rPr>
      </w:pPr>
      <w:r>
        <w:rPr>
          <w:rFonts w:hint="eastAsia" w:ascii="仿宋" w:hAnsi="仿宋" w:eastAsia="仿宋"/>
          <w:sz w:val="28"/>
          <w:szCs w:val="28"/>
        </w:rPr>
        <w:t>控制系统-接收卡</w:t>
      </w:r>
    </w:p>
    <w:p>
      <w:pPr>
        <w:ind w:firstLine="565" w:firstLineChars="202"/>
        <w:rPr>
          <w:rFonts w:ascii="仿宋" w:hAnsi="仿宋" w:eastAsia="仿宋"/>
          <w:bCs/>
          <w:sz w:val="28"/>
          <w:szCs w:val="28"/>
        </w:rPr>
      </w:pPr>
      <w:r>
        <w:rPr>
          <w:rFonts w:hint="eastAsia" w:ascii="仿宋" w:hAnsi="仿宋" w:eastAsia="仿宋"/>
          <w:bCs/>
          <w:sz w:val="28"/>
          <w:szCs w:val="28"/>
        </w:rPr>
        <w:t>集成HUB75，单卡支持16组RGB信号输出；</w:t>
      </w:r>
    </w:p>
    <w:p>
      <w:pPr>
        <w:ind w:firstLine="565" w:firstLineChars="202"/>
        <w:rPr>
          <w:rFonts w:ascii="仿宋" w:hAnsi="仿宋" w:eastAsia="仿宋"/>
          <w:bCs/>
          <w:sz w:val="28"/>
          <w:szCs w:val="28"/>
        </w:rPr>
      </w:pPr>
      <w:r>
        <w:rPr>
          <w:rFonts w:hint="eastAsia" w:ascii="仿宋" w:hAnsi="仿宋" w:eastAsia="仿宋"/>
          <w:bCs/>
          <w:sz w:val="28"/>
          <w:szCs w:val="28"/>
        </w:rPr>
        <w:t>支持超大带载面积，单卡带载128*512，256*256；</w:t>
      </w:r>
    </w:p>
    <w:p>
      <w:pPr>
        <w:ind w:firstLine="565" w:firstLineChars="202"/>
        <w:rPr>
          <w:rFonts w:ascii="仿宋" w:hAnsi="仿宋" w:eastAsia="仿宋"/>
          <w:bCs/>
          <w:sz w:val="28"/>
          <w:szCs w:val="28"/>
        </w:rPr>
      </w:pPr>
      <w:r>
        <w:rPr>
          <w:rFonts w:hint="eastAsia" w:ascii="仿宋" w:hAnsi="仿宋" w:eastAsia="仿宋"/>
          <w:bCs/>
          <w:sz w:val="28"/>
          <w:szCs w:val="28"/>
        </w:rPr>
        <w:t>支持常规芯片实现高刷新、高灰度、高亮度；</w:t>
      </w:r>
    </w:p>
    <w:p>
      <w:pPr>
        <w:ind w:firstLine="565" w:firstLineChars="202"/>
        <w:rPr>
          <w:rFonts w:ascii="仿宋" w:hAnsi="仿宋" w:eastAsia="仿宋"/>
          <w:bCs/>
          <w:sz w:val="28"/>
          <w:szCs w:val="28"/>
        </w:rPr>
      </w:pPr>
      <w:r>
        <w:rPr>
          <w:rFonts w:hint="eastAsia" w:ascii="仿宋" w:hAnsi="仿宋" w:eastAsia="仿宋"/>
          <w:bCs/>
          <w:sz w:val="28"/>
          <w:szCs w:val="28"/>
        </w:rPr>
        <w:t>支持14bit精度的色度、亮度一体化逐点校正；</w:t>
      </w:r>
    </w:p>
    <w:p>
      <w:pPr>
        <w:ind w:firstLine="565" w:firstLineChars="202"/>
        <w:rPr>
          <w:rFonts w:ascii="仿宋" w:hAnsi="仿宋" w:eastAsia="仿宋"/>
          <w:bCs/>
          <w:sz w:val="28"/>
          <w:szCs w:val="28"/>
        </w:rPr>
      </w:pPr>
      <w:r>
        <w:rPr>
          <w:rFonts w:hint="eastAsia" w:ascii="仿宋" w:hAnsi="仿宋" w:eastAsia="仿宋"/>
          <w:bCs/>
          <w:sz w:val="28"/>
          <w:szCs w:val="28"/>
        </w:rPr>
        <w:t>支持DC 3.3V~6V超宽工作电压，有效减弱电压波动带来的影响；</w:t>
      </w:r>
    </w:p>
    <w:p>
      <w:pPr>
        <w:ind w:firstLine="565" w:firstLineChars="202"/>
        <w:rPr>
          <w:rFonts w:ascii="仿宋" w:hAnsi="仿宋" w:eastAsia="仿宋"/>
          <w:bCs/>
          <w:sz w:val="28"/>
          <w:szCs w:val="28"/>
        </w:rPr>
      </w:pPr>
      <w:r>
        <w:rPr>
          <w:rFonts w:hint="eastAsia" w:ascii="仿宋" w:hAnsi="仿宋" w:eastAsia="仿宋"/>
          <w:bCs/>
          <w:sz w:val="28"/>
          <w:szCs w:val="28"/>
        </w:rPr>
        <w:t>全新灰度引擎，低灰度表现更佳；</w:t>
      </w:r>
    </w:p>
    <w:p>
      <w:pPr>
        <w:ind w:firstLine="565" w:firstLineChars="202"/>
        <w:rPr>
          <w:rFonts w:ascii="仿宋" w:hAnsi="仿宋" w:eastAsia="仿宋"/>
          <w:bCs/>
          <w:sz w:val="28"/>
          <w:szCs w:val="28"/>
        </w:rPr>
      </w:pPr>
      <w:r>
        <w:rPr>
          <w:rFonts w:hint="eastAsia" w:ascii="仿宋" w:hAnsi="仿宋" w:eastAsia="仿宋"/>
          <w:bCs/>
          <w:sz w:val="28"/>
          <w:szCs w:val="28"/>
        </w:rPr>
        <w:t>可消除单元板设计引起的某行偏暗、低灰偏红、鬼影等细节问题；</w:t>
      </w:r>
    </w:p>
    <w:p>
      <w:pPr>
        <w:ind w:firstLine="565" w:firstLineChars="202"/>
        <w:rPr>
          <w:rFonts w:ascii="仿宋" w:hAnsi="仿宋" w:eastAsia="仿宋"/>
          <w:sz w:val="28"/>
          <w:szCs w:val="28"/>
        </w:rPr>
      </w:pPr>
      <w:r>
        <w:rPr>
          <w:rFonts w:hint="eastAsia" w:ascii="仿宋" w:hAnsi="仿宋" w:eastAsia="仿宋"/>
          <w:sz w:val="28"/>
          <w:szCs w:val="28"/>
        </w:rPr>
        <w:t>控制系统-视频拼接处理器</w:t>
      </w:r>
    </w:p>
    <w:p>
      <w:pPr>
        <w:ind w:firstLine="565" w:firstLineChars="202"/>
        <w:rPr>
          <w:rFonts w:ascii="仿宋" w:hAnsi="仿宋" w:eastAsia="仿宋"/>
          <w:bCs/>
          <w:sz w:val="28"/>
          <w:szCs w:val="28"/>
        </w:rPr>
      </w:pPr>
      <w:r>
        <w:rPr>
          <w:rFonts w:hint="eastAsia" w:ascii="仿宋" w:hAnsi="仿宋" w:eastAsia="仿宋"/>
          <w:bCs/>
          <w:sz w:val="28"/>
          <w:szCs w:val="28"/>
        </w:rPr>
        <w:t>4路DVI输入；4路DVI输出；</w:t>
      </w:r>
    </w:p>
    <w:p>
      <w:pPr>
        <w:ind w:firstLine="565" w:firstLineChars="202"/>
        <w:rPr>
          <w:rFonts w:ascii="仿宋" w:hAnsi="仿宋" w:eastAsia="仿宋"/>
          <w:bCs/>
          <w:sz w:val="28"/>
          <w:szCs w:val="28"/>
        </w:rPr>
      </w:pPr>
      <w:r>
        <w:rPr>
          <w:rFonts w:hint="eastAsia" w:ascii="仿宋" w:hAnsi="仿宋" w:eastAsia="仿宋"/>
          <w:bCs/>
          <w:sz w:val="28"/>
          <w:szCs w:val="28"/>
        </w:rPr>
        <w:t>可通过网络或串口同时控制多台接入设备（如显示屏、摄像机）；</w:t>
      </w:r>
    </w:p>
    <w:p>
      <w:pPr>
        <w:ind w:firstLine="565" w:firstLineChars="202"/>
        <w:rPr>
          <w:rFonts w:ascii="仿宋" w:hAnsi="仿宋" w:eastAsia="仿宋"/>
          <w:bCs/>
          <w:sz w:val="28"/>
          <w:szCs w:val="28"/>
        </w:rPr>
      </w:pPr>
      <w:r>
        <w:rPr>
          <w:rFonts w:hint="eastAsia" w:ascii="仿宋" w:hAnsi="仿宋" w:eastAsia="仿宋"/>
          <w:bCs/>
          <w:sz w:val="28"/>
          <w:szCs w:val="28"/>
        </w:rPr>
        <w:t>多个用户可以使用客户端或IE同时登陆管理设备；</w:t>
      </w:r>
    </w:p>
    <w:p>
      <w:pPr>
        <w:ind w:firstLine="565" w:firstLineChars="202"/>
        <w:rPr>
          <w:rFonts w:ascii="仿宋" w:hAnsi="仿宋" w:eastAsia="仿宋"/>
          <w:bCs/>
          <w:sz w:val="28"/>
          <w:szCs w:val="28"/>
        </w:rPr>
      </w:pPr>
      <w:r>
        <w:rPr>
          <w:rFonts w:hint="eastAsia" w:ascii="仿宋" w:hAnsi="仿宋" w:eastAsia="仿宋"/>
          <w:bCs/>
          <w:sz w:val="28"/>
          <w:szCs w:val="28"/>
        </w:rPr>
        <w:t>支持Windows、Android、IOS移动终端同时进行操作设备；</w:t>
      </w:r>
    </w:p>
    <w:p>
      <w:pPr>
        <w:ind w:firstLine="565" w:firstLineChars="202"/>
        <w:rPr>
          <w:rFonts w:ascii="仿宋" w:hAnsi="仿宋" w:eastAsia="仿宋"/>
          <w:bCs/>
          <w:sz w:val="28"/>
          <w:szCs w:val="28"/>
        </w:rPr>
      </w:pPr>
      <w:r>
        <w:rPr>
          <w:rFonts w:hint="eastAsia" w:ascii="仿宋" w:hAnsi="仿宋" w:eastAsia="仿宋"/>
          <w:bCs/>
          <w:sz w:val="28"/>
          <w:szCs w:val="28"/>
        </w:rPr>
        <w:t>支持板卡热插拔，设备运行中能够自动识别新插入的板卡；</w:t>
      </w:r>
    </w:p>
    <w:p>
      <w:pPr>
        <w:ind w:firstLine="565" w:firstLineChars="202"/>
        <w:rPr>
          <w:rFonts w:ascii="仿宋" w:hAnsi="仿宋" w:eastAsia="仿宋"/>
          <w:bCs/>
          <w:sz w:val="28"/>
          <w:szCs w:val="28"/>
        </w:rPr>
      </w:pPr>
      <w:r>
        <w:rPr>
          <w:rFonts w:hint="eastAsia" w:ascii="仿宋" w:hAnsi="仿宋" w:eastAsia="仿宋"/>
          <w:bCs/>
          <w:sz w:val="28"/>
          <w:szCs w:val="28"/>
        </w:rPr>
        <w:t>支持16/12/9/8/4/1等多种预览分割模式；</w:t>
      </w:r>
    </w:p>
    <w:p>
      <w:pPr>
        <w:ind w:firstLine="565" w:firstLineChars="202"/>
        <w:rPr>
          <w:rFonts w:ascii="仿宋" w:hAnsi="仿宋" w:eastAsia="仿宋"/>
          <w:bCs/>
          <w:sz w:val="28"/>
          <w:szCs w:val="28"/>
        </w:rPr>
      </w:pPr>
      <w:r>
        <w:rPr>
          <w:rFonts w:hint="eastAsia" w:ascii="仿宋" w:hAnsi="仿宋" w:eastAsia="仿宋"/>
          <w:bCs/>
          <w:sz w:val="28"/>
          <w:szCs w:val="28"/>
        </w:rPr>
        <w:t>应能通过通信端口和控制软件，手动操作在任意输出的终端显示多个任意大小的窗口；</w:t>
      </w:r>
    </w:p>
    <w:p>
      <w:pPr>
        <w:ind w:firstLine="565" w:firstLineChars="202"/>
        <w:rPr>
          <w:rFonts w:ascii="仿宋" w:hAnsi="仿宋" w:eastAsia="仿宋"/>
          <w:bCs/>
          <w:sz w:val="28"/>
          <w:szCs w:val="28"/>
        </w:rPr>
      </w:pPr>
      <w:r>
        <w:rPr>
          <w:rFonts w:hint="eastAsia" w:ascii="仿宋" w:hAnsi="仿宋" w:eastAsia="仿宋"/>
          <w:bCs/>
          <w:sz w:val="28"/>
          <w:szCs w:val="28"/>
        </w:rPr>
        <w:t>应能通过通信端口和控制软件，手动操作将多个不同的窗口开到一个屏幕，实现窗口的重叠功能；</w:t>
      </w:r>
    </w:p>
    <w:p>
      <w:pPr>
        <w:ind w:firstLine="565" w:firstLineChars="202"/>
        <w:rPr>
          <w:rFonts w:ascii="仿宋" w:hAnsi="仿宋" w:eastAsia="仿宋"/>
          <w:bCs/>
          <w:sz w:val="28"/>
          <w:szCs w:val="28"/>
        </w:rPr>
      </w:pPr>
      <w:r>
        <w:rPr>
          <w:rFonts w:hint="eastAsia" w:ascii="仿宋" w:hAnsi="仿宋" w:eastAsia="仿宋"/>
          <w:bCs/>
          <w:sz w:val="28"/>
          <w:szCs w:val="28"/>
        </w:rPr>
        <w:t>应能通过通信端口和控制软件，手动操作将任意一个窗口拖动到显示终端的任意位置；</w:t>
      </w:r>
    </w:p>
    <w:p>
      <w:pPr>
        <w:ind w:firstLine="565" w:firstLineChars="202"/>
        <w:rPr>
          <w:rFonts w:ascii="仿宋" w:hAnsi="仿宋" w:eastAsia="仿宋"/>
          <w:bCs/>
          <w:sz w:val="28"/>
          <w:szCs w:val="28"/>
        </w:rPr>
      </w:pPr>
      <w:r>
        <w:rPr>
          <w:rFonts w:hint="eastAsia" w:ascii="仿宋" w:hAnsi="仿宋" w:eastAsia="仿宋"/>
          <w:bCs/>
          <w:sz w:val="28"/>
          <w:szCs w:val="28"/>
        </w:rPr>
        <w:t>应能通过通信端口和控制软件，手动操作将任意一个窗口拖动到多个显示终端的拼接显示；</w:t>
      </w:r>
    </w:p>
    <w:p>
      <w:pPr>
        <w:ind w:firstLine="565" w:firstLineChars="202"/>
        <w:rPr>
          <w:rFonts w:ascii="仿宋" w:hAnsi="仿宋" w:eastAsia="仿宋"/>
          <w:bCs/>
          <w:sz w:val="28"/>
          <w:szCs w:val="28"/>
        </w:rPr>
      </w:pPr>
      <w:r>
        <w:rPr>
          <w:rFonts w:hint="eastAsia" w:ascii="仿宋" w:hAnsi="仿宋" w:eastAsia="仿宋"/>
          <w:bCs/>
          <w:sz w:val="28"/>
          <w:szCs w:val="28"/>
        </w:rPr>
        <w:t>应能通过通信端口和控制软件，手动操作将窗口进行任意的放大和缩小的功能，并可以对窗口显示图像进行局部截取功能；</w:t>
      </w:r>
    </w:p>
    <w:p>
      <w:pPr>
        <w:ind w:firstLine="565" w:firstLineChars="202"/>
        <w:rPr>
          <w:rFonts w:ascii="仿宋" w:hAnsi="仿宋" w:eastAsia="仿宋"/>
          <w:bCs/>
          <w:sz w:val="28"/>
          <w:szCs w:val="28"/>
        </w:rPr>
      </w:pPr>
      <w:r>
        <w:rPr>
          <w:rFonts w:hint="eastAsia" w:ascii="仿宋" w:hAnsi="仿宋" w:eastAsia="仿宋"/>
          <w:bCs/>
          <w:sz w:val="28"/>
          <w:szCs w:val="28"/>
        </w:rPr>
        <w:t>在进行画面拼接时，能将相邻2个画面之间的边缘像素进行屏蔽，使画面不变形。屏蔽的像素可以手动设置；</w:t>
      </w:r>
    </w:p>
    <w:p>
      <w:pPr>
        <w:ind w:firstLine="565" w:firstLineChars="202"/>
        <w:rPr>
          <w:rFonts w:ascii="仿宋" w:hAnsi="仿宋" w:eastAsia="仿宋"/>
          <w:bCs/>
          <w:sz w:val="28"/>
          <w:szCs w:val="28"/>
        </w:rPr>
      </w:pPr>
      <w:r>
        <w:rPr>
          <w:rFonts w:hint="eastAsia" w:ascii="仿宋" w:hAnsi="仿宋" w:eastAsia="仿宋"/>
          <w:bCs/>
          <w:sz w:val="28"/>
          <w:szCs w:val="28"/>
        </w:rPr>
        <w:t>可根据像素位置裁剪显示输入信号的部分内容，实现图像局部放大；</w:t>
      </w:r>
    </w:p>
    <w:p>
      <w:pPr>
        <w:ind w:firstLine="565" w:firstLineChars="202"/>
        <w:rPr>
          <w:rFonts w:ascii="仿宋" w:hAnsi="仿宋" w:eastAsia="仿宋"/>
          <w:bCs/>
          <w:sz w:val="28"/>
          <w:szCs w:val="28"/>
        </w:rPr>
      </w:pPr>
      <w:r>
        <w:rPr>
          <w:rFonts w:hint="eastAsia" w:ascii="仿宋" w:hAnsi="仿宋" w:eastAsia="仿宋"/>
          <w:bCs/>
          <w:sz w:val="28"/>
          <w:szCs w:val="28"/>
        </w:rPr>
        <w:t>支持窗口网格和坐标定位功能；</w:t>
      </w:r>
    </w:p>
    <w:p>
      <w:pPr>
        <w:ind w:firstLine="565" w:firstLineChars="202"/>
        <w:rPr>
          <w:rFonts w:ascii="仿宋" w:hAnsi="仿宋" w:eastAsia="仿宋"/>
          <w:bCs/>
          <w:sz w:val="28"/>
          <w:szCs w:val="28"/>
        </w:rPr>
      </w:pPr>
      <w:r>
        <w:rPr>
          <w:rFonts w:hint="eastAsia" w:ascii="仿宋" w:hAnsi="仿宋" w:eastAsia="仿宋"/>
          <w:bCs/>
          <w:sz w:val="28"/>
          <w:szCs w:val="28"/>
        </w:rPr>
        <w:t>窗口大小可通过输入数值设定；</w:t>
      </w:r>
    </w:p>
    <w:p>
      <w:pPr>
        <w:ind w:firstLine="565" w:firstLineChars="202"/>
        <w:rPr>
          <w:rFonts w:ascii="仿宋" w:hAnsi="仿宋" w:eastAsia="仿宋"/>
          <w:bCs/>
          <w:sz w:val="28"/>
          <w:szCs w:val="28"/>
        </w:rPr>
      </w:pPr>
      <w:r>
        <w:rPr>
          <w:rFonts w:hint="eastAsia" w:ascii="仿宋" w:hAnsi="仿宋" w:eastAsia="仿宋"/>
          <w:bCs/>
          <w:sz w:val="28"/>
          <w:szCs w:val="28"/>
        </w:rPr>
        <w:t xml:space="preserve">客户端软件可以自动检测样品设备上的输入端口、输出端口、接入的输入信号和接入的显示终端，并通过列表的方式展现；                           </w:t>
      </w:r>
    </w:p>
    <w:p>
      <w:pPr>
        <w:ind w:firstLine="565" w:firstLineChars="202"/>
        <w:rPr>
          <w:rFonts w:ascii="仿宋" w:hAnsi="仿宋" w:eastAsia="仿宋"/>
          <w:bCs/>
          <w:sz w:val="28"/>
          <w:szCs w:val="28"/>
        </w:rPr>
      </w:pPr>
      <w:r>
        <w:rPr>
          <w:rFonts w:hint="eastAsia" w:ascii="仿宋" w:hAnsi="仿宋" w:eastAsia="仿宋"/>
          <w:bCs/>
          <w:sz w:val="28"/>
          <w:szCs w:val="28"/>
        </w:rPr>
        <w:t>支持iOS、Win系统平板及手机APP控屏，切换视频源及预设模式；</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3.会议全频音箱</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二路二分频，平均功率可达175瓦；</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内置70/100V变压器。</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频响范围:60Hz一16kHz</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灵敏度:92dB lW,lm</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阻抗:8欧姆(28T)</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4.功放</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双通道功率放大器，每组立体声输出330瓦8欧，450瓦4欧；</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 xml:space="preserve">桥接单声道输出900瓦8欧； </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灵敏度0.775V/1.4V；</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频响20Hz-20kHz；</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 xml:space="preserve">信噪比100dB； </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5.调音台</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12输入通道；</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4路单声道+6话筒+4立体声；</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2编组母线和1立体声母线，2AUX（包括FX）；</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单声道输入通道配有高品质话放，带有倒向晶体管电路；</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单旋钮压缩器；功率22瓦；48V幻象电源；XLR平衡输出；</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6.音频处理器</w:t>
      </w:r>
    </w:p>
    <w:p>
      <w:pPr>
        <w:numPr>
          <w:ilvl w:val="0"/>
          <w:numId w:val="2"/>
        </w:numPr>
        <w:spacing w:line="360" w:lineRule="auto"/>
        <w:ind w:left="0" w:firstLine="567"/>
        <w:rPr>
          <w:rFonts w:ascii="仿宋" w:hAnsi="仿宋" w:eastAsia="仿宋" w:cs="仿宋"/>
          <w:sz w:val="28"/>
          <w:szCs w:val="28"/>
        </w:rPr>
      </w:pPr>
      <w:r>
        <w:rPr>
          <w:rFonts w:hint="eastAsia" w:ascii="仿宋" w:hAnsi="仿宋" w:eastAsia="仿宋" w:cs="仿宋"/>
          <w:sz w:val="28"/>
          <w:szCs w:val="28"/>
        </w:rPr>
        <w:t>采用96KHz采样处理的音频处理器，32-bit 高精度DSP处理器，及高性能24-bit A/D及D/A转换器，高音质保证；</w:t>
      </w:r>
    </w:p>
    <w:p>
      <w:pPr>
        <w:numPr>
          <w:ilvl w:val="0"/>
          <w:numId w:val="2"/>
        </w:numPr>
        <w:spacing w:line="360" w:lineRule="auto"/>
        <w:ind w:left="0" w:firstLine="567"/>
        <w:rPr>
          <w:rFonts w:ascii="仿宋" w:hAnsi="仿宋" w:eastAsia="仿宋" w:cs="仿宋"/>
          <w:sz w:val="28"/>
          <w:szCs w:val="28"/>
        </w:rPr>
      </w:pPr>
      <w:r>
        <w:rPr>
          <w:rFonts w:hint="eastAsia" w:ascii="仿宋" w:hAnsi="仿宋" w:eastAsia="仿宋" w:cs="仿宋"/>
          <w:sz w:val="28"/>
          <w:szCs w:val="28"/>
        </w:rPr>
        <w:t>有4进8出通道，可灵活组合各类型音频系统；</w:t>
      </w:r>
    </w:p>
    <w:p>
      <w:pPr>
        <w:numPr>
          <w:ilvl w:val="0"/>
          <w:numId w:val="2"/>
        </w:numPr>
        <w:spacing w:line="360" w:lineRule="auto"/>
        <w:ind w:left="0" w:firstLine="567"/>
        <w:rPr>
          <w:rFonts w:ascii="仿宋" w:hAnsi="仿宋" w:eastAsia="仿宋" w:cs="仿宋"/>
          <w:sz w:val="28"/>
          <w:szCs w:val="28"/>
        </w:rPr>
      </w:pPr>
      <w:r>
        <w:rPr>
          <w:rFonts w:hint="eastAsia" w:ascii="仿宋" w:hAnsi="仿宋" w:eastAsia="仿宋" w:cs="仿宋"/>
          <w:sz w:val="28"/>
          <w:szCs w:val="28"/>
        </w:rPr>
        <w:t>每路输入均设有31段图示均衡GEQ+10段PEQ,输出设有10段PEQ</w:t>
      </w:r>
    </w:p>
    <w:p>
      <w:pPr>
        <w:numPr>
          <w:ilvl w:val="0"/>
          <w:numId w:val="2"/>
        </w:numPr>
        <w:spacing w:line="360" w:lineRule="auto"/>
        <w:ind w:left="0" w:firstLine="567"/>
        <w:rPr>
          <w:rFonts w:ascii="仿宋" w:hAnsi="仿宋" w:eastAsia="仿宋" w:cs="仿宋"/>
          <w:sz w:val="28"/>
          <w:szCs w:val="28"/>
        </w:rPr>
      </w:pPr>
      <w:r>
        <w:rPr>
          <w:rFonts w:hint="eastAsia" w:ascii="仿宋" w:hAnsi="仿宋" w:eastAsia="仿宋" w:cs="仿宋"/>
          <w:sz w:val="28"/>
          <w:szCs w:val="28"/>
        </w:rPr>
        <w:t xml:space="preserve">每路输入通道均设有增益、相位、延时、静音的功能及每路输出通道均设有增益、相位、分频、压限、静音、延时的功能； </w:t>
      </w:r>
    </w:p>
    <w:p>
      <w:pPr>
        <w:numPr>
          <w:ilvl w:val="0"/>
          <w:numId w:val="2"/>
        </w:numPr>
        <w:spacing w:line="360" w:lineRule="auto"/>
        <w:ind w:left="0" w:firstLine="567"/>
        <w:rPr>
          <w:rFonts w:ascii="仿宋" w:hAnsi="仿宋" w:eastAsia="仿宋" w:cs="仿宋"/>
          <w:sz w:val="28"/>
          <w:szCs w:val="28"/>
        </w:rPr>
      </w:pPr>
      <w:r>
        <w:rPr>
          <w:rFonts w:hint="eastAsia" w:ascii="仿宋" w:hAnsi="仿宋" w:eastAsia="仿宋" w:cs="仿宋"/>
          <w:sz w:val="28"/>
          <w:szCs w:val="28"/>
        </w:rPr>
        <w:t>每路输出延时均可调，最长可达1000MS，最小调整步距为0.021MS；</w:t>
      </w:r>
    </w:p>
    <w:p>
      <w:pPr>
        <w:numPr>
          <w:ilvl w:val="0"/>
          <w:numId w:val="2"/>
        </w:numPr>
        <w:spacing w:line="360" w:lineRule="auto"/>
        <w:ind w:left="0" w:firstLine="567"/>
        <w:rPr>
          <w:rFonts w:ascii="仿宋" w:hAnsi="仿宋" w:eastAsia="仿宋" w:cs="仿宋"/>
          <w:sz w:val="28"/>
          <w:szCs w:val="28"/>
        </w:rPr>
      </w:pPr>
      <w:r>
        <w:rPr>
          <w:rFonts w:hint="eastAsia" w:ascii="仿宋" w:hAnsi="仿宋" w:eastAsia="仿宋" w:cs="仿宋"/>
          <w:sz w:val="28"/>
          <w:szCs w:val="28"/>
        </w:rPr>
        <w:t>输入输出通道可实现全路由，并可同步多个输出通道联调所有参数以及通道参数拷贝功能；</w:t>
      </w:r>
    </w:p>
    <w:p>
      <w:pPr>
        <w:numPr>
          <w:ilvl w:val="0"/>
          <w:numId w:val="2"/>
        </w:numPr>
        <w:spacing w:line="360" w:lineRule="auto"/>
        <w:ind w:left="0" w:firstLine="567"/>
        <w:rPr>
          <w:rFonts w:ascii="仿宋" w:hAnsi="仿宋" w:eastAsia="仿宋" w:cs="仿宋"/>
          <w:sz w:val="28"/>
          <w:szCs w:val="28"/>
        </w:rPr>
      </w:pPr>
      <w:r>
        <w:rPr>
          <w:rFonts w:hint="eastAsia" w:ascii="仿宋" w:hAnsi="仿宋" w:eastAsia="仿宋" w:cs="仿宋"/>
          <w:sz w:val="28"/>
          <w:szCs w:val="28"/>
        </w:rPr>
        <w:t>可变高/低通滤波器的斜率均可设置，其中贝塞尔（Bessel）,巴特活斯（Butterworth）设置为12dB、18dB、24dB每倍频程，林克维茨-瑞莱（Linkwitz-Riley）可设置为12dB、18dB、24dB、36dB、48dB 每倍频程；</w:t>
      </w:r>
    </w:p>
    <w:p>
      <w:pPr>
        <w:numPr>
          <w:ilvl w:val="0"/>
          <w:numId w:val="2"/>
        </w:numPr>
        <w:spacing w:line="360" w:lineRule="auto"/>
        <w:ind w:left="0" w:firstLine="567"/>
        <w:rPr>
          <w:rFonts w:ascii="仿宋" w:hAnsi="仿宋" w:eastAsia="仿宋" w:cs="仿宋"/>
          <w:sz w:val="28"/>
          <w:szCs w:val="28"/>
        </w:rPr>
      </w:pPr>
      <w:r>
        <w:rPr>
          <w:rFonts w:hint="eastAsia" w:ascii="仿宋" w:hAnsi="仿宋" w:eastAsia="仿宋" w:cs="仿宋"/>
          <w:sz w:val="28"/>
          <w:szCs w:val="28"/>
        </w:rPr>
        <w:t>每台机器均可根据用户需要存储，最多可存储12种用户程序；</w:t>
      </w:r>
    </w:p>
    <w:p>
      <w:pPr>
        <w:numPr>
          <w:ilvl w:val="0"/>
          <w:numId w:val="2"/>
        </w:numPr>
        <w:spacing w:line="360" w:lineRule="auto"/>
        <w:ind w:left="0" w:firstLine="567"/>
        <w:rPr>
          <w:rFonts w:ascii="仿宋" w:hAnsi="仿宋" w:eastAsia="仿宋" w:cs="仿宋"/>
          <w:sz w:val="28"/>
          <w:szCs w:val="28"/>
        </w:rPr>
      </w:pPr>
      <w:r>
        <w:rPr>
          <w:rFonts w:hint="eastAsia" w:ascii="仿宋" w:hAnsi="仿宋" w:eastAsia="仿宋" w:cs="仿宋"/>
          <w:sz w:val="28"/>
          <w:szCs w:val="28"/>
        </w:rPr>
        <w:t>设有面板操作锁，以防止误操作而导致的工作状态紊乱；</w:t>
      </w:r>
    </w:p>
    <w:p>
      <w:pPr>
        <w:numPr>
          <w:ilvl w:val="0"/>
          <w:numId w:val="2"/>
        </w:numPr>
        <w:spacing w:line="360" w:lineRule="auto"/>
        <w:ind w:left="0" w:firstLine="567"/>
        <w:rPr>
          <w:rFonts w:ascii="仿宋" w:hAnsi="仿宋" w:eastAsia="仿宋" w:cs="仿宋"/>
          <w:sz w:val="28"/>
          <w:szCs w:val="28"/>
        </w:rPr>
      </w:pPr>
      <w:r>
        <w:rPr>
          <w:rFonts w:hint="eastAsia" w:ascii="仿宋" w:hAnsi="仿宋" w:eastAsia="仿宋" w:cs="仿宋"/>
          <w:sz w:val="28"/>
          <w:szCs w:val="28"/>
        </w:rPr>
        <w:t>设有USB、RS485和RS232多种控制方式，通过RS485接口可级联，且设有RS232串口，可通过第三方做远程编辑和控制；</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7.反馈抑制器</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2寸TFT彩屏，中英文可选；</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反馈加移频设计方案，移频4档可选；</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每通道设12个陷波器,工作频率20-20KHZ，自动扫描啸叫点并抑制；</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可抑制系统微弱噪声干扰；</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输入压缩功能，消除反馈同时更可扩展人声动态；</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响应时间快中慢3速可定；</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配有专业的PC调试软件，USB免驱动即插即用.</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8.一拖二无线话筒</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双咪双接收;每个频带可达12个兼容系统（视区域而定）;</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人声组合无线系统，具备双无线通道和QuickScan频率选择功能，配备专业品质人声话筒振膜；</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提供杰出音质和性能，即插即用。</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包含：双通道无线接收机；2个手持式发射机，配备集成心形动圈话筒振膜;</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8.HDMI矩阵</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8进8出HDMI矩阵.全硬件架构无CPU和操作系统；</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采用6.5GHz高带宽芯片；</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支持HDCP解密、蓝光，3D；</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支持信号时序重整, CEC, 36位真彩技术；</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 xml:space="preserve">支持HDMI 1.4a协议版本支持:1080P@120Hz、1080P 3D@60Hz、及以下分辨率； </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支持按键，红外遥控，RS232串口等多种控制方式；</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支持EDID自适应功能，更好适应现场多样化的显示设备，高兼容性；</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长线驱动能力:输入带有自动均衡，有效减少因为线路传输而导致的确定性抖动；</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输出带有预加重功能，以便长线传输后接收端仍可接收信号，使用高品质HDMI 2.0版本的线缆，输入输出距离可达25米；</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输入支持接收延迟，有效应对当差分对线不等长时进行时间补偿；</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掉电记忆现场保护功能。</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10.8路电源时序管理器</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2吋彩色液晶智能显示窗，实时显示当前电压、日期时间，通道开关状态；</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定时开关机功能，内置时钟芯片，可根据日期时间设定，无需人为操作，设备管理简易；</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8路通道输出，每路延时开启和关闭时间可自由设置（范围0~999S）；</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10组设备开关场景数据保存/调用，场景管理应用简单便捷；</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欠压、超压检测及报警功能，总功率6000W，单路最大功率2000W；</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支持多台设备级联控制，级联状态可自动检测及设置；</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配置RS232接口，支持外部中央控制设备控制；</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可实现远程集中控制，每台设备自带设备编码ID检测和设置；</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支持面板Lock锁定功能，防止人为误操作；</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11.智能中控主机</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采用军工级数据口隔离芯片，有效避免不同设备间的干扰；</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主机采用2寸液晶显示屏、墙板采用5寸触摸显示屏，中英文可选显示；</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4路串口,通过发送中控代码实现投影、效果器、解码器、会议矩阵、功放、时序器、点歌机等带RS232接口的设备进行控制。</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2路RS485接口通过发送中控代码，控制电动窗帘、电动幕布等带RS485的设备控制；</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1路墙板接口，支持外接控制面板实际功能控制；</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3路RF接口，其中1路可实现散射式红外发射，对接红外发射器延长线进行红外转发，实现对红外设备进行控制；</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12路回路电源，可进行背景灯光及小功率用电设备开关控制，每路可独立实现999S延时，单独每路最大电路8A，总电流&gt;20A；</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10位干触点开关控制，实现2组电动门窗、电动幕布、新风机控制等设备控制；</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1路LAN口，通过APP对主机进行操作控制及中控参数设置；</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12组模式保存、调用，可通过不同模式设置实现不同的场景；</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宽电压设计，100~240V50/60Hz下可正常工作使用；</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标配 T2墙面触摸板：</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可选配5寸65.5K色,800*480分辨率电容触摸屏显示,菜单界面全触控操作,中英文可选,简洁直观；</w:t>
      </w:r>
    </w:p>
    <w:p>
      <w:pPr>
        <w:spacing w:line="360" w:lineRule="auto"/>
        <w:ind w:firstLine="567"/>
        <w:rPr>
          <w:rFonts w:ascii="仿宋" w:hAnsi="仿宋" w:eastAsia="仿宋" w:cs="仿宋"/>
          <w:sz w:val="28"/>
          <w:szCs w:val="28"/>
        </w:rPr>
      </w:pPr>
      <w:r>
        <w:rPr>
          <w:rFonts w:hint="eastAsia" w:ascii="仿宋" w:hAnsi="仿宋" w:eastAsia="仿宋" w:cs="仿宋"/>
          <w:sz w:val="28"/>
          <w:szCs w:val="28"/>
        </w:rPr>
        <w:t>采用RS485通讯,与智能控制主机SK2连接或具备RS485接口设备联接.可实现对智能控制主机,受控音视频源,电源管理器,电动窗帘,电动投影幕,灯光对红外设备进行控制.</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12.无线投屏器</w:t>
      </w:r>
    </w:p>
    <w:p>
      <w:pPr>
        <w:numPr>
          <w:ilvl w:val="0"/>
          <w:numId w:val="3"/>
        </w:numPr>
        <w:spacing w:line="360" w:lineRule="auto"/>
        <w:ind w:left="0" w:firstLine="567"/>
        <w:rPr>
          <w:rFonts w:ascii="仿宋" w:hAnsi="仿宋" w:eastAsia="仿宋" w:cs="仿宋"/>
          <w:sz w:val="28"/>
          <w:szCs w:val="28"/>
        </w:rPr>
      </w:pPr>
      <w:r>
        <w:rPr>
          <w:rFonts w:hint="eastAsia" w:ascii="仿宋" w:hAnsi="仿宋" w:eastAsia="仿宋" w:cs="仿宋"/>
          <w:sz w:val="28"/>
          <w:szCs w:val="28"/>
        </w:rPr>
        <w:t>usb无线传屏，支持windows和mac电脑，仅通过usb口，同时完成传输和供电，无线传屏至接收端。一键传屏，无需安装软件。支持对usb传屏器所插电脑的触摸反控。</w:t>
      </w:r>
    </w:p>
    <w:p>
      <w:pPr>
        <w:numPr>
          <w:ilvl w:val="0"/>
          <w:numId w:val="3"/>
        </w:numPr>
        <w:spacing w:line="360" w:lineRule="auto"/>
        <w:ind w:left="0" w:firstLine="567"/>
        <w:rPr>
          <w:rFonts w:ascii="仿宋" w:hAnsi="仿宋" w:eastAsia="仿宋" w:cs="仿宋"/>
          <w:sz w:val="28"/>
          <w:szCs w:val="28"/>
        </w:rPr>
      </w:pPr>
      <w:r>
        <w:rPr>
          <w:rFonts w:hint="eastAsia" w:ascii="仿宋" w:hAnsi="仿宋" w:eastAsia="仿宋" w:cs="仿宋"/>
          <w:sz w:val="28"/>
          <w:szCs w:val="28"/>
        </w:rPr>
        <w:t>支持主流操作系统通过wifi的无线传屏，windows和安卓系统，通过运行应用程序进行镜像传屏；ios,mac通过自带airplay协议实现镜像传屏。</w:t>
      </w:r>
    </w:p>
    <w:p>
      <w:pPr>
        <w:numPr>
          <w:ilvl w:val="0"/>
          <w:numId w:val="3"/>
        </w:numPr>
        <w:spacing w:line="360" w:lineRule="auto"/>
        <w:ind w:left="0" w:firstLine="567"/>
        <w:rPr>
          <w:rFonts w:ascii="仿宋" w:hAnsi="仿宋" w:eastAsia="仿宋" w:cs="仿宋"/>
          <w:sz w:val="28"/>
          <w:szCs w:val="28"/>
        </w:rPr>
      </w:pPr>
      <w:r>
        <w:rPr>
          <w:rFonts w:hint="eastAsia" w:ascii="仿宋" w:hAnsi="仿宋" w:eastAsia="仿宋" w:cs="仿宋"/>
          <w:sz w:val="28"/>
          <w:szCs w:val="28"/>
        </w:rPr>
        <w:t>接收端内置两个wifi模块，一个用于产生热点用于传屏，另外一个用于连接办公室网络，无需连接网线使得连接热点正在传屏的移动终端还能上网，投屏上网两不误。</w:t>
      </w:r>
    </w:p>
    <w:p>
      <w:pPr>
        <w:numPr>
          <w:ilvl w:val="0"/>
          <w:numId w:val="3"/>
        </w:numPr>
        <w:spacing w:line="360" w:lineRule="auto"/>
        <w:ind w:left="0" w:firstLine="567"/>
        <w:rPr>
          <w:rFonts w:ascii="仿宋" w:hAnsi="仿宋" w:eastAsia="仿宋" w:cs="仿宋"/>
          <w:sz w:val="28"/>
          <w:szCs w:val="28"/>
        </w:rPr>
      </w:pPr>
      <w:r>
        <w:rPr>
          <w:rFonts w:hint="eastAsia" w:ascii="仿宋" w:hAnsi="仿宋" w:eastAsia="仿宋" w:cs="仿宋"/>
          <w:sz w:val="28"/>
          <w:szCs w:val="28"/>
        </w:rPr>
        <w:t>接收端内置蓝牙模块，安卓手机在镜像投屏时，可以上网播放在线视频或者在线音乐并能传屏传声音。</w:t>
      </w:r>
    </w:p>
    <w:p>
      <w:pPr>
        <w:numPr>
          <w:ilvl w:val="0"/>
          <w:numId w:val="3"/>
        </w:numPr>
        <w:spacing w:line="360" w:lineRule="auto"/>
        <w:ind w:left="0" w:firstLine="567"/>
        <w:rPr>
          <w:rFonts w:ascii="仿宋" w:hAnsi="仿宋" w:eastAsia="仿宋" w:cs="仿宋"/>
          <w:sz w:val="28"/>
          <w:szCs w:val="28"/>
        </w:rPr>
      </w:pPr>
      <w:r>
        <w:rPr>
          <w:rFonts w:hint="eastAsia" w:ascii="仿宋" w:hAnsi="仿宋" w:eastAsia="仿宋" w:cs="仿宋"/>
          <w:sz w:val="28"/>
          <w:szCs w:val="28"/>
        </w:rPr>
        <w:t>具备3个usb口，1个hdmi输出口，1个rj45网口，1个模拟音频输出口，1个tf卡槽</w:t>
      </w:r>
    </w:p>
    <w:p>
      <w:pPr>
        <w:numPr>
          <w:ilvl w:val="0"/>
          <w:numId w:val="3"/>
        </w:numPr>
        <w:spacing w:line="360" w:lineRule="auto"/>
        <w:ind w:left="0" w:firstLine="567"/>
        <w:rPr>
          <w:rFonts w:ascii="仿宋" w:hAnsi="仿宋" w:eastAsia="仿宋" w:cs="仿宋"/>
          <w:sz w:val="28"/>
          <w:szCs w:val="28"/>
        </w:rPr>
      </w:pPr>
      <w:r>
        <w:rPr>
          <w:rFonts w:hint="eastAsia" w:ascii="仿宋" w:hAnsi="仿宋" w:eastAsia="仿宋" w:cs="仿宋"/>
          <w:sz w:val="28"/>
          <w:szCs w:val="28"/>
        </w:rPr>
        <w:t>接收端具备联网自动升级功能，能通过网络及时更新内置程序，以及usb传屏器升级包，当把usb传屏器插入接收端usb口时自动升级usb传屏器。方便升级等售后服务。</w:t>
      </w:r>
    </w:p>
    <w:p>
      <w:pPr>
        <w:numPr>
          <w:ilvl w:val="0"/>
          <w:numId w:val="3"/>
        </w:numPr>
        <w:spacing w:line="360" w:lineRule="auto"/>
        <w:ind w:left="0" w:firstLine="567"/>
        <w:rPr>
          <w:rFonts w:ascii="仿宋" w:hAnsi="仿宋" w:eastAsia="仿宋" w:cs="仿宋"/>
          <w:sz w:val="28"/>
          <w:szCs w:val="28"/>
        </w:rPr>
      </w:pPr>
      <w:r>
        <w:rPr>
          <w:rFonts w:hint="eastAsia" w:ascii="仿宋" w:hAnsi="仿宋" w:eastAsia="仿宋" w:cs="仿宋"/>
          <w:sz w:val="28"/>
          <w:szCs w:val="28"/>
        </w:rPr>
        <w:t>具备多种投屏模式，满足各种场合需求，抢占模式和独占模式可以随意切换，可以设置动态投屏码防止投屏事故。可设置竖屏模式，方便手机竖屏满屏传屏。</w:t>
      </w:r>
    </w:p>
    <w:p>
      <w:pPr>
        <w:numPr>
          <w:ilvl w:val="0"/>
          <w:numId w:val="3"/>
        </w:numPr>
        <w:spacing w:line="360" w:lineRule="auto"/>
        <w:ind w:left="0" w:firstLine="567"/>
        <w:rPr>
          <w:rFonts w:ascii="仿宋" w:hAnsi="仿宋" w:eastAsia="仿宋" w:cs="仿宋"/>
          <w:sz w:val="28"/>
          <w:szCs w:val="28"/>
        </w:rPr>
      </w:pPr>
      <w:r>
        <w:rPr>
          <w:rFonts w:hint="eastAsia" w:ascii="仿宋" w:hAnsi="仿宋" w:eastAsia="仿宋" w:cs="仿宋"/>
          <w:sz w:val="28"/>
          <w:szCs w:val="28"/>
        </w:rPr>
        <w:t>内置批注功能，能对传屏画面进行实时批注，并保存本地，u盘或者手机二维码分享多种选择。</w:t>
      </w:r>
    </w:p>
    <w:p>
      <w:pPr>
        <w:numPr>
          <w:ilvl w:val="0"/>
          <w:numId w:val="3"/>
        </w:numPr>
        <w:spacing w:line="360" w:lineRule="auto"/>
        <w:ind w:left="0" w:firstLine="567"/>
        <w:rPr>
          <w:rFonts w:ascii="仿宋" w:hAnsi="仿宋" w:eastAsia="仿宋" w:cs="仿宋"/>
          <w:sz w:val="28"/>
          <w:szCs w:val="28"/>
        </w:rPr>
      </w:pPr>
      <w:r>
        <w:rPr>
          <w:rFonts w:hint="eastAsia" w:ascii="仿宋" w:hAnsi="仿宋" w:eastAsia="仿宋" w:cs="仿宋"/>
          <w:sz w:val="28"/>
          <w:szCs w:val="28"/>
        </w:rPr>
        <w:t>具备管理员功能，提供管理员客户端软件，通过管理员客户端软件可以方便控制投屏端的上下屏操作</w:t>
      </w:r>
    </w:p>
    <w:p>
      <w:pPr>
        <w:numPr>
          <w:ilvl w:val="0"/>
          <w:numId w:val="3"/>
        </w:numPr>
        <w:spacing w:line="360" w:lineRule="auto"/>
        <w:ind w:left="0" w:firstLine="567"/>
        <w:rPr>
          <w:rFonts w:ascii="仿宋" w:hAnsi="仿宋" w:eastAsia="仿宋" w:cs="仿宋"/>
          <w:sz w:val="28"/>
          <w:szCs w:val="28"/>
        </w:rPr>
      </w:pPr>
      <w:r>
        <w:rPr>
          <w:rFonts w:hint="eastAsia" w:ascii="仿宋" w:hAnsi="仿宋" w:eastAsia="仿宋" w:cs="仿宋"/>
          <w:sz w:val="28"/>
          <w:szCs w:val="28"/>
        </w:rPr>
        <w:t>支持集控部署和管理，支持公网集控服务器部署或者私有网络服务器部署，通过集控管理端，可以对指定设备进行设置或者管理，如，设置投屏参数，设置壁纸，推送安装指定应用等功能。</w:t>
      </w:r>
    </w:p>
    <w:p>
      <w:pPr>
        <w:numPr>
          <w:ilvl w:val="0"/>
          <w:numId w:val="3"/>
        </w:numPr>
        <w:spacing w:line="360" w:lineRule="auto"/>
        <w:ind w:left="0" w:firstLine="567"/>
        <w:rPr>
          <w:rFonts w:ascii="仿宋" w:hAnsi="仿宋" w:eastAsia="仿宋" w:cs="仿宋"/>
          <w:sz w:val="28"/>
          <w:szCs w:val="28"/>
        </w:rPr>
      </w:pPr>
      <w:r>
        <w:rPr>
          <w:rFonts w:hint="eastAsia" w:ascii="仿宋" w:hAnsi="仿宋" w:eastAsia="仿宋" w:cs="仿宋"/>
          <w:sz w:val="28"/>
          <w:szCs w:val="28"/>
        </w:rPr>
        <w:t>自动重启功能:内置实时时钟模块，确保无互联网状态下，系统时间仍能正常运行，并能在凌晨无投屏状态时自动重启，确保设备365天7x24小时不掉电仍能有效运行。</w:t>
      </w:r>
    </w:p>
    <w:p>
      <w:pPr>
        <w:numPr>
          <w:ilvl w:val="0"/>
          <w:numId w:val="3"/>
        </w:numPr>
        <w:spacing w:line="360" w:lineRule="auto"/>
        <w:ind w:left="0" w:firstLine="567"/>
        <w:rPr>
          <w:rFonts w:ascii="仿宋" w:hAnsi="仿宋" w:eastAsia="仿宋" w:cs="仿宋"/>
          <w:sz w:val="28"/>
          <w:szCs w:val="28"/>
        </w:rPr>
      </w:pPr>
      <w:r>
        <w:rPr>
          <w:rFonts w:hint="eastAsia" w:ascii="仿宋" w:hAnsi="仿宋" w:eastAsia="仿宋" w:cs="仿宋"/>
          <w:sz w:val="28"/>
          <w:szCs w:val="28"/>
        </w:rPr>
        <w:t>兼容miracast和widi功能，接收端运行内置特定程序后，可以支持安卓手机的miracast投屏和笔记本的widi投屏，无需安卓软件。</w:t>
      </w:r>
    </w:p>
    <w:p>
      <w:pPr>
        <w:numPr>
          <w:ilvl w:val="0"/>
          <w:numId w:val="3"/>
        </w:numPr>
        <w:spacing w:line="360" w:lineRule="auto"/>
        <w:ind w:left="0" w:firstLine="567"/>
        <w:rPr>
          <w:rFonts w:ascii="仿宋" w:hAnsi="仿宋" w:eastAsia="仿宋" w:cs="仿宋"/>
          <w:sz w:val="28"/>
          <w:szCs w:val="28"/>
        </w:rPr>
      </w:pPr>
      <w:r>
        <w:rPr>
          <w:rFonts w:hint="eastAsia" w:ascii="仿宋" w:hAnsi="仿宋" w:eastAsia="仿宋" w:cs="仿宋"/>
          <w:sz w:val="28"/>
          <w:szCs w:val="28"/>
        </w:rPr>
        <w:t>支持手机扫码投屏功能，微信，支付宝扫一扫直接进入镜像投屏状态，无需手动连接wifi等其他操作步奏，方便快捷</w:t>
      </w:r>
    </w:p>
    <w:p>
      <w:pPr>
        <w:numPr>
          <w:ilvl w:val="0"/>
          <w:numId w:val="3"/>
        </w:numPr>
        <w:spacing w:line="360" w:lineRule="auto"/>
        <w:ind w:left="0" w:firstLine="567"/>
        <w:rPr>
          <w:rFonts w:ascii="仿宋" w:hAnsi="仿宋" w:eastAsia="仿宋" w:cs="仿宋"/>
          <w:sz w:val="28"/>
          <w:szCs w:val="28"/>
        </w:rPr>
      </w:pPr>
      <w:r>
        <w:rPr>
          <w:rFonts w:hint="eastAsia" w:ascii="仿宋" w:hAnsi="仿宋" w:eastAsia="仿宋" w:cs="仿宋"/>
          <w:sz w:val="28"/>
          <w:szCs w:val="28"/>
        </w:rPr>
        <w:t>支持跨网段投屏，接收主机与安卓客户端，windows客户端可以处于不同网段，在客户端只需输入接收主机的投屏码即可投屏。投屏码支持动态变化。服务器可以部署在云端或客户内网自建。</w:t>
      </w:r>
    </w:p>
    <w:p>
      <w:pPr>
        <w:numPr>
          <w:ilvl w:val="0"/>
          <w:numId w:val="3"/>
        </w:numPr>
        <w:spacing w:line="360" w:lineRule="auto"/>
        <w:ind w:left="0" w:firstLine="567"/>
        <w:rPr>
          <w:rFonts w:ascii="仿宋" w:hAnsi="仿宋" w:eastAsia="仿宋" w:cs="仿宋"/>
          <w:sz w:val="28"/>
          <w:szCs w:val="28"/>
        </w:rPr>
      </w:pPr>
      <w:r>
        <w:rPr>
          <w:rFonts w:hint="eastAsia" w:ascii="仿宋" w:hAnsi="仿宋" w:eastAsia="仿宋" w:cs="仿宋"/>
          <w:sz w:val="28"/>
          <w:szCs w:val="28"/>
        </w:rPr>
        <w:t>接收主机支持hdmi 2.0 4k60hz输出传屏</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13.大屏系统整体功能要求</w:t>
      </w:r>
    </w:p>
    <w:p>
      <w:pPr>
        <w:widowControl/>
        <w:numPr>
          <w:ilvl w:val="0"/>
          <w:numId w:val="4"/>
        </w:numPr>
        <w:spacing w:line="360" w:lineRule="auto"/>
        <w:ind w:left="0" w:firstLine="567"/>
        <w:rPr>
          <w:rFonts w:ascii="仿宋" w:hAnsi="仿宋" w:eastAsia="仿宋" w:cs="宋体"/>
          <w:sz w:val="28"/>
          <w:szCs w:val="28"/>
        </w:rPr>
      </w:pPr>
      <w:bookmarkStart w:id="0" w:name="_Hlk46257412"/>
      <w:r>
        <w:rPr>
          <w:rFonts w:hint="eastAsia" w:ascii="仿宋" w:hAnsi="仿宋" w:eastAsia="仿宋" w:cs="宋体"/>
          <w:sz w:val="28"/>
          <w:szCs w:val="28"/>
        </w:rPr>
        <w:t>★本项目自验收合格之日起，LED显示屏及显控系统提供原厂免费质保五年（详见清单部分）。提供原厂技术支持和维修服务，</w:t>
      </w:r>
      <w:bookmarkStart w:id="1" w:name="_Hlk46257605"/>
      <w:r>
        <w:rPr>
          <w:rFonts w:hint="eastAsia" w:ascii="仿宋" w:hAnsi="仿宋" w:eastAsia="仿宋" w:cs="宋体"/>
          <w:sz w:val="28"/>
          <w:szCs w:val="28"/>
        </w:rPr>
        <w:t>投标时提供详细的原厂质量保证及售后服务承诺书。</w:t>
      </w:r>
    </w:p>
    <w:bookmarkEnd w:id="0"/>
    <w:bookmarkEnd w:id="1"/>
    <w:p>
      <w:pPr>
        <w:widowControl/>
        <w:numPr>
          <w:ilvl w:val="0"/>
          <w:numId w:val="4"/>
        </w:numPr>
        <w:spacing w:line="360" w:lineRule="auto"/>
        <w:ind w:left="0" w:firstLine="567"/>
        <w:rPr>
          <w:rFonts w:ascii="仿宋" w:hAnsi="仿宋" w:eastAsia="仿宋" w:cs="宋体"/>
          <w:sz w:val="28"/>
          <w:szCs w:val="28"/>
        </w:rPr>
      </w:pPr>
      <w:r>
        <w:rPr>
          <w:rFonts w:hint="eastAsia" w:ascii="仿宋" w:hAnsi="仿宋" w:eastAsia="仿宋" w:cs="宋体"/>
          <w:sz w:val="28"/>
          <w:szCs w:val="28"/>
        </w:rPr>
        <w:t>在指挥中心实际安装环境温度和湿度条件内，LED屏幕不易热胀冷缩，不易变形，反光小，视觉效果优良，亮度可以根据使用需要自由调节，能够满足不同场合下长期观看的舒适度要求。</w:t>
      </w:r>
    </w:p>
    <w:p>
      <w:pPr>
        <w:widowControl/>
        <w:numPr>
          <w:ilvl w:val="0"/>
          <w:numId w:val="4"/>
        </w:numPr>
        <w:spacing w:line="360" w:lineRule="auto"/>
        <w:ind w:left="0" w:firstLine="567"/>
        <w:rPr>
          <w:rFonts w:ascii="仿宋" w:hAnsi="仿宋" w:eastAsia="仿宋" w:cs="宋体"/>
          <w:sz w:val="28"/>
          <w:szCs w:val="28"/>
        </w:rPr>
      </w:pPr>
      <w:r>
        <w:rPr>
          <w:rFonts w:hint="eastAsia" w:ascii="仿宋" w:hAnsi="仿宋" w:eastAsia="仿宋" w:cs="宋体"/>
          <w:sz w:val="28"/>
          <w:szCs w:val="28"/>
        </w:rPr>
        <w:t>LED屏幕具有高分辨率、可调亮度和对比度范围宽，色彩还原真实，图像不失真，亮度均匀，显示清晰。对于整个系统，输入的视频、计算机信号的显示均要求实时显示，画面无延时，无抖动。</w:t>
      </w:r>
    </w:p>
    <w:p>
      <w:pPr>
        <w:widowControl/>
        <w:numPr>
          <w:ilvl w:val="0"/>
          <w:numId w:val="4"/>
        </w:numPr>
        <w:spacing w:line="360" w:lineRule="auto"/>
        <w:ind w:left="0" w:firstLine="567"/>
        <w:rPr>
          <w:rFonts w:ascii="仿宋" w:hAnsi="仿宋" w:eastAsia="仿宋" w:cs="宋体"/>
          <w:sz w:val="28"/>
          <w:szCs w:val="28"/>
        </w:rPr>
      </w:pPr>
      <w:r>
        <w:rPr>
          <w:rFonts w:hint="eastAsia" w:ascii="仿宋" w:hAnsi="仿宋" w:eastAsia="仿宋" w:cs="宋体"/>
          <w:sz w:val="28"/>
          <w:szCs w:val="28"/>
        </w:rPr>
        <w:t>图像在本地显示器与LED屏幕上可同时同步显示。</w:t>
      </w:r>
    </w:p>
    <w:p>
      <w:pPr>
        <w:widowControl/>
        <w:numPr>
          <w:ilvl w:val="0"/>
          <w:numId w:val="4"/>
        </w:numPr>
        <w:spacing w:line="360" w:lineRule="auto"/>
        <w:ind w:left="0" w:firstLine="567"/>
        <w:rPr>
          <w:rFonts w:ascii="仿宋" w:hAnsi="仿宋" w:eastAsia="仿宋" w:cs="宋体"/>
          <w:sz w:val="28"/>
          <w:szCs w:val="28"/>
        </w:rPr>
      </w:pPr>
      <w:r>
        <w:rPr>
          <w:rFonts w:hint="eastAsia" w:ascii="仿宋" w:hAnsi="仿宋" w:eastAsia="仿宋" w:cs="宋体"/>
          <w:sz w:val="28"/>
          <w:szCs w:val="28"/>
        </w:rPr>
        <w:t>系统可对所有接入的信号进行组合、漫游、开窗等显示。LED屏幕可以根据使用要求任意划分显示区域，每个区域可开多个浮动窗口，多个显示区域独立显示不同内容，也可同步显示同一内容，屏幕可进行任意画面的分割，切换显示，画面可任意叠加、缩放。</w:t>
      </w:r>
    </w:p>
    <w:p>
      <w:pPr>
        <w:widowControl/>
        <w:numPr>
          <w:ilvl w:val="0"/>
          <w:numId w:val="4"/>
        </w:numPr>
        <w:spacing w:line="360" w:lineRule="auto"/>
        <w:ind w:left="0" w:firstLine="567"/>
        <w:rPr>
          <w:rFonts w:ascii="仿宋" w:hAnsi="仿宋" w:eastAsia="仿宋" w:cs="宋体"/>
          <w:sz w:val="28"/>
          <w:szCs w:val="28"/>
        </w:rPr>
      </w:pPr>
      <w:r>
        <w:rPr>
          <w:rFonts w:hint="eastAsia" w:ascii="仿宋" w:hAnsi="仿宋" w:eastAsia="仿宋" w:cs="宋体"/>
          <w:sz w:val="28"/>
          <w:szCs w:val="28"/>
        </w:rPr>
        <w:t>系统具有画中画、滚动字幕等视频播放功能。</w:t>
      </w:r>
    </w:p>
    <w:p>
      <w:pPr>
        <w:widowControl/>
        <w:numPr>
          <w:ilvl w:val="0"/>
          <w:numId w:val="4"/>
        </w:numPr>
        <w:spacing w:line="360" w:lineRule="auto"/>
        <w:ind w:left="0" w:firstLine="567"/>
        <w:rPr>
          <w:rFonts w:ascii="仿宋" w:hAnsi="仿宋" w:eastAsia="仿宋" w:cs="宋体"/>
          <w:sz w:val="28"/>
          <w:szCs w:val="28"/>
        </w:rPr>
      </w:pPr>
      <w:r>
        <w:rPr>
          <w:rFonts w:hint="eastAsia" w:ascii="仿宋" w:hAnsi="仿宋" w:eastAsia="仿宋" w:cs="宋体"/>
          <w:sz w:val="28"/>
          <w:szCs w:val="28"/>
        </w:rPr>
        <w:t>支持任意形状的显示区域播出视频，图片，文字，动画等。</w:t>
      </w:r>
    </w:p>
    <w:p>
      <w:pPr>
        <w:widowControl/>
        <w:numPr>
          <w:ilvl w:val="0"/>
          <w:numId w:val="4"/>
        </w:numPr>
        <w:spacing w:line="360" w:lineRule="auto"/>
        <w:ind w:left="0" w:firstLine="567"/>
        <w:rPr>
          <w:rFonts w:ascii="仿宋" w:hAnsi="仿宋" w:eastAsia="仿宋" w:cs="宋体"/>
          <w:sz w:val="28"/>
          <w:szCs w:val="28"/>
        </w:rPr>
      </w:pPr>
      <w:r>
        <w:rPr>
          <w:rFonts w:hint="eastAsia" w:ascii="仿宋" w:hAnsi="仿宋" w:eastAsia="仿宋" w:cs="宋体"/>
          <w:sz w:val="28"/>
          <w:szCs w:val="28"/>
        </w:rPr>
        <w:t>可进行LED屏幕显示布局的创建和修改，支持多通道的设置和显示，多通道可以任意的叠加并调整顺序。</w:t>
      </w:r>
    </w:p>
    <w:p>
      <w:pPr>
        <w:widowControl/>
        <w:numPr>
          <w:ilvl w:val="0"/>
          <w:numId w:val="4"/>
        </w:numPr>
        <w:spacing w:line="360" w:lineRule="auto"/>
        <w:ind w:left="0" w:firstLine="567"/>
        <w:rPr>
          <w:rFonts w:ascii="仿宋" w:hAnsi="仿宋" w:eastAsia="仿宋" w:cs="宋体"/>
          <w:sz w:val="28"/>
          <w:szCs w:val="28"/>
        </w:rPr>
      </w:pPr>
      <w:r>
        <w:rPr>
          <w:rFonts w:hint="eastAsia" w:ascii="仿宋" w:hAnsi="仿宋" w:eastAsia="仿宋" w:cs="宋体"/>
          <w:sz w:val="28"/>
          <w:szCs w:val="28"/>
        </w:rPr>
        <w:t>通过控制系统软件，可以实现对大屏显示系统中的硬件设备、信号源、显示窗口、矩阵等进行方便、多点的管理和控制。软件应基于Window操作系统及网络Server/Client架构，支持TCP/IP网络协议、串口控制协议。控制系统软件采用中文控制界面，支持菜单管理，通过单一界面即可实现所有的管理控制功能，电脑和大屏显示同步画面。</w:t>
      </w:r>
    </w:p>
    <w:p>
      <w:pPr>
        <w:widowControl/>
        <w:numPr>
          <w:ilvl w:val="0"/>
          <w:numId w:val="4"/>
        </w:numPr>
        <w:spacing w:line="360" w:lineRule="auto"/>
        <w:ind w:left="0" w:firstLine="567"/>
        <w:rPr>
          <w:rFonts w:ascii="仿宋" w:hAnsi="仿宋" w:eastAsia="仿宋" w:cs="宋体"/>
          <w:sz w:val="28"/>
          <w:szCs w:val="28"/>
        </w:rPr>
      </w:pPr>
      <w:r>
        <w:rPr>
          <w:rFonts w:hint="eastAsia" w:ascii="仿宋" w:hAnsi="仿宋" w:eastAsia="仿宋" w:cs="宋体"/>
          <w:sz w:val="28"/>
          <w:szCs w:val="28"/>
        </w:rPr>
        <w:t>控制系统可以使用平板电脑等触摸终端对大屏进行控制操作，如信号源窗口各种操作（开窗、替换、缩放、移动、关窗、平铺、全屏等）、大屏的开关机、模式的执行等操作，支持IOS、Windows、Android等系统的客户端，所有操作功能必须能够在各种客户端中全部实现。</w:t>
      </w:r>
    </w:p>
    <w:p>
      <w:pPr>
        <w:widowControl/>
        <w:numPr>
          <w:ilvl w:val="0"/>
          <w:numId w:val="4"/>
        </w:numPr>
        <w:spacing w:line="360" w:lineRule="auto"/>
        <w:ind w:left="0" w:firstLine="567"/>
        <w:rPr>
          <w:rFonts w:ascii="仿宋" w:hAnsi="仿宋" w:eastAsia="仿宋" w:cs="宋体"/>
          <w:sz w:val="28"/>
          <w:szCs w:val="28"/>
        </w:rPr>
      </w:pPr>
      <w:r>
        <w:rPr>
          <w:rFonts w:hint="eastAsia" w:ascii="仿宋" w:hAnsi="仿宋" w:eastAsia="仿宋" w:cs="宋体"/>
          <w:sz w:val="28"/>
          <w:szCs w:val="28"/>
        </w:rPr>
        <w:t>可管理在LED屏幕上显示的各种视频信号、计算机信号的相关信息，包括来源、信号特点、信号路由等。</w:t>
      </w:r>
    </w:p>
    <w:p>
      <w:pPr>
        <w:widowControl/>
        <w:numPr>
          <w:ilvl w:val="0"/>
          <w:numId w:val="4"/>
        </w:numPr>
        <w:spacing w:line="360" w:lineRule="auto"/>
        <w:ind w:left="0" w:firstLine="567"/>
        <w:rPr>
          <w:rFonts w:ascii="仿宋" w:hAnsi="仿宋" w:eastAsia="仿宋" w:cs="宋体"/>
          <w:sz w:val="28"/>
          <w:szCs w:val="28"/>
        </w:rPr>
      </w:pPr>
      <w:r>
        <w:rPr>
          <w:rFonts w:hint="eastAsia" w:ascii="仿宋" w:hAnsi="仿宋" w:eastAsia="仿宋" w:cs="宋体"/>
          <w:sz w:val="28"/>
          <w:szCs w:val="28"/>
        </w:rPr>
        <w:t>系统具有预监功能，可在调用信号源开窗之前先对其进行预览，以保证显示内容的正确性。</w:t>
      </w:r>
    </w:p>
    <w:p>
      <w:pPr>
        <w:widowControl/>
        <w:numPr>
          <w:ilvl w:val="0"/>
          <w:numId w:val="4"/>
        </w:numPr>
        <w:spacing w:line="360" w:lineRule="auto"/>
        <w:ind w:left="0" w:firstLine="567"/>
        <w:rPr>
          <w:rFonts w:ascii="仿宋" w:hAnsi="仿宋" w:eastAsia="仿宋" w:cs="宋体"/>
          <w:sz w:val="28"/>
          <w:szCs w:val="28"/>
        </w:rPr>
      </w:pPr>
      <w:r>
        <w:rPr>
          <w:rFonts w:hint="eastAsia" w:ascii="仿宋" w:hAnsi="仿宋" w:eastAsia="仿宋" w:cs="宋体"/>
          <w:sz w:val="28"/>
          <w:szCs w:val="28"/>
        </w:rPr>
        <w:t>通过拖放等方式，将各路信号源在LED大屏上以窗口的方式显示出来，每个窗口在控制软件界面的虚拟屏上以方框表示，操作员可以通过操作方框的方式来管理正在显示的窗口，如拖放、放大缩小、关闭等操作。</w:t>
      </w:r>
    </w:p>
    <w:p>
      <w:pPr>
        <w:widowControl/>
        <w:numPr>
          <w:ilvl w:val="0"/>
          <w:numId w:val="4"/>
        </w:numPr>
        <w:spacing w:line="360" w:lineRule="auto"/>
        <w:ind w:left="0" w:firstLine="567"/>
        <w:rPr>
          <w:rFonts w:ascii="仿宋" w:hAnsi="仿宋" w:eastAsia="仿宋" w:cs="宋体"/>
          <w:sz w:val="28"/>
          <w:szCs w:val="28"/>
        </w:rPr>
      </w:pPr>
      <w:r>
        <w:rPr>
          <w:rFonts w:hint="eastAsia" w:ascii="仿宋" w:hAnsi="仿宋" w:eastAsia="仿宋" w:cs="宋体"/>
          <w:sz w:val="28"/>
          <w:szCs w:val="28"/>
        </w:rPr>
        <w:t>通过管理控制软件，可以把各种显示信号的组合定义成模式，操作员可以按照需要，随时调用模式，可以快速实现各种显示组合之间的切换；操作员还可以把各种显示窗口或者显示模式定义成预案，可以让控制软件定时自动地调用各种模式或者信号源显示，不需要人工干预(例如设定系统自动开机、自动进入待机状态等等)。</w:t>
      </w:r>
    </w:p>
    <w:p>
      <w:pPr>
        <w:widowControl/>
        <w:numPr>
          <w:ilvl w:val="0"/>
          <w:numId w:val="4"/>
        </w:numPr>
        <w:spacing w:line="360" w:lineRule="auto"/>
        <w:ind w:left="0" w:firstLine="567"/>
        <w:rPr>
          <w:rFonts w:ascii="仿宋" w:hAnsi="仿宋" w:eastAsia="仿宋" w:cs="宋体"/>
          <w:sz w:val="28"/>
          <w:szCs w:val="28"/>
        </w:rPr>
      </w:pPr>
      <w:r>
        <w:rPr>
          <w:rFonts w:hint="eastAsia" w:ascii="仿宋" w:hAnsi="仿宋" w:eastAsia="仿宋" w:cs="宋体"/>
          <w:sz w:val="28"/>
          <w:szCs w:val="28"/>
        </w:rPr>
        <w:t>具有环境亮度自动调节系统，可保证系统根据环境亮度自动调整LED大屏亮度，结合人眼观看的舒适度，在节省能源的情况下调整达到最佳的显示效果。</w:t>
      </w:r>
    </w:p>
    <w:p>
      <w:pPr>
        <w:widowControl/>
        <w:numPr>
          <w:ilvl w:val="0"/>
          <w:numId w:val="4"/>
        </w:numPr>
        <w:spacing w:line="360" w:lineRule="auto"/>
        <w:ind w:left="0" w:firstLine="567"/>
        <w:rPr>
          <w:rFonts w:ascii="仿宋" w:hAnsi="仿宋" w:eastAsia="仿宋" w:cs="宋体"/>
          <w:sz w:val="28"/>
          <w:szCs w:val="28"/>
        </w:rPr>
      </w:pPr>
      <w:r>
        <w:rPr>
          <w:rFonts w:hint="eastAsia" w:ascii="仿宋" w:hAnsi="仿宋" w:eastAsia="仿宋" w:cs="宋体"/>
          <w:sz w:val="28"/>
          <w:szCs w:val="28"/>
        </w:rPr>
        <w:t>支持热拨插，系统具有自动检测，数据存储的功能；不关机更换模块后，自动检测无需重新调整，记忆存储数据保证显示屏亮度和颜色无偏差，整屏显示一致。</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四.需求清单</w:t>
      </w:r>
    </w:p>
    <w:tbl>
      <w:tblPr>
        <w:tblStyle w:val="5"/>
        <w:tblW w:w="8622" w:type="dxa"/>
        <w:jc w:val="center"/>
        <w:tblLayout w:type="fixed"/>
        <w:tblCellMar>
          <w:top w:w="0" w:type="dxa"/>
          <w:left w:w="108" w:type="dxa"/>
          <w:bottom w:w="0" w:type="dxa"/>
          <w:right w:w="108" w:type="dxa"/>
        </w:tblCellMar>
      </w:tblPr>
      <w:tblGrid>
        <w:gridCol w:w="687"/>
        <w:gridCol w:w="811"/>
        <w:gridCol w:w="1079"/>
        <w:gridCol w:w="2930"/>
        <w:gridCol w:w="985"/>
        <w:gridCol w:w="960"/>
        <w:gridCol w:w="1170"/>
      </w:tblGrid>
      <w:tr>
        <w:tblPrEx>
          <w:tblCellMar>
            <w:top w:w="0" w:type="dxa"/>
            <w:left w:w="108" w:type="dxa"/>
            <w:bottom w:w="0" w:type="dxa"/>
            <w:right w:w="108" w:type="dxa"/>
          </w:tblCellMar>
        </w:tblPrEx>
        <w:trPr>
          <w:trHeight w:val="285" w:hRule="atLeast"/>
          <w:jc w:val="center"/>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序号</w:t>
            </w:r>
          </w:p>
        </w:tc>
        <w:tc>
          <w:tcPr>
            <w:tcW w:w="8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分类</w:t>
            </w:r>
          </w:p>
        </w:tc>
        <w:tc>
          <w:tcPr>
            <w:tcW w:w="10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设备名称</w:t>
            </w:r>
          </w:p>
        </w:tc>
        <w:tc>
          <w:tcPr>
            <w:tcW w:w="293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仿宋"/>
                <w:b/>
                <w:bCs/>
                <w:kern w:val="0"/>
                <w:sz w:val="24"/>
                <w:szCs w:val="24"/>
              </w:rPr>
            </w:pPr>
            <w:r>
              <w:rPr>
                <w:rFonts w:hint="eastAsia" w:ascii="仿宋" w:hAnsi="仿宋" w:eastAsia="仿宋" w:cs="仿宋"/>
                <w:b/>
                <w:bCs/>
                <w:kern w:val="0"/>
                <w:sz w:val="24"/>
                <w:szCs w:val="24"/>
              </w:rPr>
              <w:t>技术参数规格要求</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单位</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数量</w:t>
            </w:r>
          </w:p>
        </w:tc>
        <w:tc>
          <w:tcPr>
            <w:tcW w:w="11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推荐品牌</w:t>
            </w:r>
          </w:p>
        </w:tc>
      </w:tr>
      <w:tr>
        <w:tblPrEx>
          <w:tblCellMar>
            <w:top w:w="0" w:type="dxa"/>
            <w:left w:w="108" w:type="dxa"/>
            <w:bottom w:w="0" w:type="dxa"/>
            <w:right w:w="108" w:type="dxa"/>
          </w:tblCellMar>
        </w:tblPrEx>
        <w:trPr>
          <w:trHeight w:val="480" w:hRule="atLeast"/>
          <w:jc w:val="center"/>
        </w:trPr>
        <w:tc>
          <w:tcPr>
            <w:tcW w:w="687"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811"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大屏及配套</w:t>
            </w:r>
          </w:p>
        </w:tc>
        <w:tc>
          <w:tcPr>
            <w:tcW w:w="107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LED显示屏体</w:t>
            </w:r>
          </w:p>
        </w:tc>
        <w:tc>
          <w:tcPr>
            <w:tcW w:w="2930" w:type="dxa"/>
            <w:tcBorders>
              <w:top w:val="nil"/>
              <w:left w:val="nil"/>
              <w:bottom w:val="single" w:color="auto" w:sz="4" w:space="0"/>
              <w:right w:val="single" w:color="auto" w:sz="4" w:space="0"/>
            </w:tcBorders>
            <w:shd w:val="clear" w:color="000000" w:fill="FFFFFF"/>
          </w:tcPr>
          <w:p>
            <w:pPr>
              <w:widowControl/>
              <w:jc w:val="left"/>
              <w:rPr>
                <w:rFonts w:ascii="仿宋" w:hAnsi="仿宋" w:eastAsia="仿宋" w:cs="仿宋"/>
                <w:kern w:val="0"/>
                <w:sz w:val="24"/>
                <w:szCs w:val="24"/>
              </w:rPr>
            </w:pPr>
            <w:r>
              <w:rPr>
                <w:rFonts w:hint="eastAsia" w:ascii="仿宋" w:hAnsi="仿宋" w:eastAsia="仿宋" w:cs="仿宋"/>
                <w:kern w:val="0"/>
                <w:sz w:val="24"/>
                <w:szCs w:val="24"/>
              </w:rPr>
              <w:t>不小于9.216平米。详见技术要求</w:t>
            </w:r>
          </w:p>
        </w:tc>
        <w:tc>
          <w:tcPr>
            <w:tcW w:w="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平方米</w:t>
            </w:r>
          </w:p>
        </w:tc>
        <w:tc>
          <w:tcPr>
            <w:tcW w:w="9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≥9.216</w:t>
            </w:r>
          </w:p>
        </w:tc>
        <w:tc>
          <w:tcPr>
            <w:tcW w:w="117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国产优质</w:t>
            </w:r>
          </w:p>
        </w:tc>
      </w:tr>
      <w:tr>
        <w:tblPrEx>
          <w:tblCellMar>
            <w:top w:w="0" w:type="dxa"/>
            <w:left w:w="108" w:type="dxa"/>
            <w:bottom w:w="0" w:type="dxa"/>
            <w:right w:w="108" w:type="dxa"/>
          </w:tblCellMar>
        </w:tblPrEx>
        <w:trPr>
          <w:trHeight w:val="48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控制系统-发送</w:t>
            </w:r>
          </w:p>
        </w:tc>
        <w:tc>
          <w:tcPr>
            <w:tcW w:w="2930" w:type="dxa"/>
            <w:tcBorders>
              <w:top w:val="nil"/>
              <w:left w:val="nil"/>
              <w:bottom w:val="single" w:color="auto" w:sz="4" w:space="0"/>
              <w:right w:val="single" w:color="auto" w:sz="4" w:space="0"/>
            </w:tcBorders>
            <w:shd w:val="clear" w:color="000000" w:fill="FFFFFF"/>
          </w:tcPr>
          <w:p>
            <w:pPr>
              <w:widowControl/>
              <w:jc w:val="left"/>
              <w:rPr>
                <w:rFonts w:ascii="仿宋" w:hAnsi="仿宋" w:eastAsia="仿宋" w:cs="仿宋"/>
                <w:kern w:val="0"/>
                <w:sz w:val="24"/>
                <w:szCs w:val="24"/>
              </w:rPr>
            </w:pPr>
            <w:r>
              <w:rPr>
                <w:rFonts w:hint="eastAsia" w:ascii="仿宋" w:hAnsi="仿宋" w:eastAsia="仿宋" w:cs="仿宋"/>
                <w:kern w:val="0"/>
                <w:sz w:val="24"/>
                <w:szCs w:val="24"/>
              </w:rPr>
              <w:t>详见技术要求</w:t>
            </w:r>
          </w:p>
        </w:tc>
        <w:tc>
          <w:tcPr>
            <w:tcW w:w="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17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国产优质</w:t>
            </w:r>
          </w:p>
        </w:tc>
      </w:tr>
      <w:tr>
        <w:tblPrEx>
          <w:tblCellMar>
            <w:top w:w="0" w:type="dxa"/>
            <w:left w:w="108" w:type="dxa"/>
            <w:bottom w:w="0" w:type="dxa"/>
            <w:right w:w="108" w:type="dxa"/>
          </w:tblCellMar>
        </w:tblPrEx>
        <w:trPr>
          <w:trHeight w:val="48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控制系统-接收卡</w:t>
            </w:r>
          </w:p>
        </w:tc>
        <w:tc>
          <w:tcPr>
            <w:tcW w:w="2930" w:type="dxa"/>
            <w:tcBorders>
              <w:top w:val="nil"/>
              <w:left w:val="nil"/>
              <w:bottom w:val="single" w:color="auto" w:sz="4" w:space="0"/>
              <w:right w:val="single" w:color="auto" w:sz="4" w:space="0"/>
            </w:tcBorders>
            <w:shd w:val="clear" w:color="000000" w:fill="FFFFFF"/>
          </w:tcPr>
          <w:p>
            <w:pPr>
              <w:widowControl/>
              <w:jc w:val="left"/>
              <w:rPr>
                <w:rFonts w:ascii="仿宋" w:hAnsi="仿宋" w:eastAsia="仿宋" w:cs="仿宋"/>
                <w:kern w:val="0"/>
                <w:sz w:val="24"/>
                <w:szCs w:val="24"/>
              </w:rPr>
            </w:pPr>
            <w:r>
              <w:rPr>
                <w:rFonts w:hint="eastAsia" w:ascii="仿宋" w:hAnsi="仿宋" w:eastAsia="仿宋" w:cs="仿宋"/>
                <w:kern w:val="0"/>
                <w:sz w:val="24"/>
                <w:szCs w:val="24"/>
              </w:rPr>
              <w:t>详见技术要求</w:t>
            </w:r>
          </w:p>
        </w:tc>
        <w:tc>
          <w:tcPr>
            <w:tcW w:w="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17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国产优质</w:t>
            </w:r>
          </w:p>
        </w:tc>
      </w:tr>
      <w:tr>
        <w:tblPrEx>
          <w:tblCellMar>
            <w:top w:w="0" w:type="dxa"/>
            <w:left w:w="108" w:type="dxa"/>
            <w:bottom w:w="0" w:type="dxa"/>
            <w:right w:w="108" w:type="dxa"/>
          </w:tblCellMar>
        </w:tblPrEx>
        <w:trPr>
          <w:trHeight w:val="72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控制系统-视频拼接处理器</w:t>
            </w:r>
          </w:p>
        </w:tc>
        <w:tc>
          <w:tcPr>
            <w:tcW w:w="2930" w:type="dxa"/>
            <w:tcBorders>
              <w:top w:val="nil"/>
              <w:left w:val="nil"/>
              <w:bottom w:val="single" w:color="auto" w:sz="4" w:space="0"/>
              <w:right w:val="single" w:color="auto" w:sz="4" w:space="0"/>
            </w:tcBorders>
            <w:shd w:val="clear" w:color="000000" w:fill="FFFFFF"/>
          </w:tcPr>
          <w:p>
            <w:pPr>
              <w:widowControl/>
              <w:jc w:val="left"/>
              <w:rPr>
                <w:rFonts w:ascii="仿宋" w:hAnsi="仿宋" w:eastAsia="仿宋" w:cs="仿宋"/>
                <w:kern w:val="0"/>
                <w:sz w:val="24"/>
                <w:szCs w:val="24"/>
              </w:rPr>
            </w:pPr>
            <w:r>
              <w:rPr>
                <w:rFonts w:hint="eastAsia" w:ascii="仿宋" w:hAnsi="仿宋" w:eastAsia="仿宋" w:cs="仿宋"/>
                <w:kern w:val="0"/>
                <w:sz w:val="24"/>
                <w:szCs w:val="24"/>
              </w:rPr>
              <w:t>详见技术要求</w:t>
            </w:r>
          </w:p>
        </w:tc>
        <w:tc>
          <w:tcPr>
            <w:tcW w:w="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9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17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国产优质</w:t>
            </w:r>
          </w:p>
        </w:tc>
      </w:tr>
      <w:tr>
        <w:tblPrEx>
          <w:tblCellMar>
            <w:top w:w="0" w:type="dxa"/>
            <w:left w:w="108" w:type="dxa"/>
            <w:bottom w:w="0" w:type="dxa"/>
            <w:right w:w="108" w:type="dxa"/>
          </w:tblCellMar>
        </w:tblPrEx>
        <w:trPr>
          <w:trHeight w:val="72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配电系统</w:t>
            </w:r>
          </w:p>
        </w:tc>
        <w:tc>
          <w:tcPr>
            <w:tcW w:w="293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室内10KW配电柜三相空开正泰、单相空开正泰、漏电保护开关正泰、中间继电器欧姆龙）(含到屏体线缆)</w:t>
            </w:r>
          </w:p>
        </w:tc>
        <w:tc>
          <w:tcPr>
            <w:tcW w:w="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17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国产优质</w:t>
            </w:r>
          </w:p>
        </w:tc>
      </w:tr>
      <w:tr>
        <w:tblPrEx>
          <w:tblCellMar>
            <w:top w:w="0" w:type="dxa"/>
            <w:left w:w="108" w:type="dxa"/>
            <w:bottom w:w="0" w:type="dxa"/>
            <w:right w:w="108" w:type="dxa"/>
          </w:tblCellMar>
        </w:tblPrEx>
        <w:trPr>
          <w:trHeight w:val="283"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钢结构框架</w:t>
            </w:r>
          </w:p>
        </w:tc>
        <w:tc>
          <w:tcPr>
            <w:tcW w:w="293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落地式安装，左右上5cm，底座52cm黑钛哑光不锈钢边框装饰，含边框总尺寸：长4.9m*高2.65m；国标方通制作骨架；具体根据现场实际情况定制</w:t>
            </w:r>
          </w:p>
        </w:tc>
        <w:tc>
          <w:tcPr>
            <w:tcW w:w="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7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国标定制</w:t>
            </w:r>
          </w:p>
        </w:tc>
      </w:tr>
      <w:tr>
        <w:tblPrEx>
          <w:tblCellMar>
            <w:top w:w="0" w:type="dxa"/>
            <w:left w:w="108" w:type="dxa"/>
            <w:bottom w:w="0" w:type="dxa"/>
            <w:right w:w="108" w:type="dxa"/>
          </w:tblCellMar>
        </w:tblPrEx>
        <w:trPr>
          <w:trHeight w:val="48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电源线缆</w:t>
            </w:r>
          </w:p>
        </w:tc>
        <w:tc>
          <w:tcPr>
            <w:tcW w:w="293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总功率8KW，电缆线不低于国标YJV5*2.5mm</w:t>
            </w:r>
            <w:r>
              <w:rPr>
                <w:rFonts w:hint="eastAsia" w:ascii="宋体" w:hAnsi="宋体" w:eastAsia="宋体" w:cs="宋体"/>
                <w:color w:val="000000"/>
                <w:kern w:val="0"/>
                <w:sz w:val="24"/>
                <w:szCs w:val="24"/>
              </w:rPr>
              <w:t>²</w:t>
            </w:r>
            <w:r>
              <w:rPr>
                <w:rFonts w:hint="eastAsia" w:ascii="仿宋" w:hAnsi="仿宋" w:eastAsia="仿宋" w:cs="仿宋"/>
                <w:color w:val="000000"/>
                <w:kern w:val="0"/>
                <w:sz w:val="24"/>
                <w:szCs w:val="24"/>
              </w:rPr>
              <w:t>或3*6mm</w:t>
            </w:r>
            <w:r>
              <w:rPr>
                <w:rFonts w:hint="eastAsia" w:ascii="宋体" w:hAnsi="宋体" w:eastAsia="宋体" w:cs="宋体"/>
                <w:color w:val="000000"/>
                <w:kern w:val="0"/>
                <w:sz w:val="24"/>
                <w:szCs w:val="24"/>
              </w:rPr>
              <w:t>²</w:t>
            </w:r>
          </w:p>
        </w:tc>
        <w:tc>
          <w:tcPr>
            <w:tcW w:w="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7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国产优质</w:t>
            </w:r>
          </w:p>
        </w:tc>
      </w:tr>
      <w:tr>
        <w:tblPrEx>
          <w:tblCellMar>
            <w:top w:w="0" w:type="dxa"/>
            <w:left w:w="108" w:type="dxa"/>
            <w:bottom w:w="0" w:type="dxa"/>
            <w:right w:w="108" w:type="dxa"/>
          </w:tblCellMar>
        </w:tblPrEx>
        <w:trPr>
          <w:trHeight w:val="48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信号线</w:t>
            </w:r>
          </w:p>
        </w:tc>
        <w:tc>
          <w:tcPr>
            <w:tcW w:w="293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计算机到显示屏安装位置，超五类网线11根（含备用）</w:t>
            </w:r>
          </w:p>
        </w:tc>
        <w:tc>
          <w:tcPr>
            <w:tcW w:w="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7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国产优质</w:t>
            </w:r>
          </w:p>
        </w:tc>
      </w:tr>
      <w:tr>
        <w:tblPrEx>
          <w:tblCellMar>
            <w:top w:w="0" w:type="dxa"/>
            <w:left w:w="108" w:type="dxa"/>
            <w:bottom w:w="0" w:type="dxa"/>
            <w:right w:w="108" w:type="dxa"/>
          </w:tblCellMar>
        </w:tblPrEx>
        <w:trPr>
          <w:trHeight w:val="48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备品备件</w:t>
            </w:r>
          </w:p>
        </w:tc>
        <w:tc>
          <w:tcPr>
            <w:tcW w:w="2930" w:type="dxa"/>
            <w:tcBorders>
              <w:top w:val="single" w:color="auto" w:sz="4" w:space="0"/>
              <w:left w:val="nil"/>
              <w:bottom w:val="single" w:color="auto" w:sz="4" w:space="0"/>
              <w:right w:val="single" w:color="auto" w:sz="4" w:space="0"/>
            </w:tcBorders>
            <w:shd w:val="clear" w:color="000000" w:fill="auto"/>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显示模组备品备件不少于4个模组。</w:t>
            </w:r>
          </w:p>
        </w:tc>
        <w:tc>
          <w:tcPr>
            <w:tcW w:w="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17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国产优质</w:t>
            </w:r>
          </w:p>
        </w:tc>
      </w:tr>
      <w:tr>
        <w:tblPrEx>
          <w:tblCellMar>
            <w:top w:w="0" w:type="dxa"/>
            <w:left w:w="108" w:type="dxa"/>
            <w:bottom w:w="0" w:type="dxa"/>
            <w:right w:w="108" w:type="dxa"/>
          </w:tblCellMar>
        </w:tblPrEx>
        <w:trPr>
          <w:trHeight w:val="480" w:hRule="atLeast"/>
          <w:jc w:val="center"/>
        </w:trPr>
        <w:tc>
          <w:tcPr>
            <w:tcW w:w="68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81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音频系统</w:t>
            </w: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会议全频音箱</w:t>
            </w:r>
          </w:p>
        </w:tc>
        <w:tc>
          <w:tcPr>
            <w:tcW w:w="29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详见技术要求</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台</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JBL、T.D、BOSE</w:t>
            </w:r>
          </w:p>
        </w:tc>
      </w:tr>
      <w:tr>
        <w:tblPrEx>
          <w:tblCellMar>
            <w:top w:w="0" w:type="dxa"/>
            <w:left w:w="108" w:type="dxa"/>
            <w:bottom w:w="0" w:type="dxa"/>
            <w:right w:w="108" w:type="dxa"/>
          </w:tblCellMar>
        </w:tblPrEx>
        <w:trPr>
          <w:trHeight w:val="72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功放</w:t>
            </w:r>
          </w:p>
        </w:tc>
        <w:tc>
          <w:tcPr>
            <w:tcW w:w="29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详见技术要求</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台</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CROWN 、T.D、ASHLY</w:t>
            </w:r>
          </w:p>
        </w:tc>
      </w:tr>
      <w:tr>
        <w:tblPrEx>
          <w:tblCellMar>
            <w:top w:w="0" w:type="dxa"/>
            <w:left w:w="108" w:type="dxa"/>
            <w:bottom w:w="0" w:type="dxa"/>
            <w:right w:w="108" w:type="dxa"/>
          </w:tblCellMar>
        </w:tblPrEx>
        <w:trPr>
          <w:trHeight w:val="120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调音台</w:t>
            </w:r>
          </w:p>
        </w:tc>
        <w:tc>
          <w:tcPr>
            <w:tcW w:w="29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详见技术要求</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台</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YAMAHA、Behringer、 SOUNDCRAFT</w:t>
            </w:r>
          </w:p>
        </w:tc>
      </w:tr>
      <w:tr>
        <w:tblPrEx>
          <w:tblCellMar>
            <w:top w:w="0" w:type="dxa"/>
            <w:left w:w="108" w:type="dxa"/>
            <w:bottom w:w="0" w:type="dxa"/>
            <w:right w:w="108" w:type="dxa"/>
          </w:tblCellMar>
        </w:tblPrEx>
        <w:trPr>
          <w:trHeight w:val="285"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音频处理器</w:t>
            </w:r>
          </w:p>
        </w:tc>
        <w:tc>
          <w:tcPr>
            <w:tcW w:w="29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详见技术要求</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台</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17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AVMEDIA、TY AUDIO、ASHLY</w:t>
            </w:r>
          </w:p>
        </w:tc>
      </w:tr>
      <w:tr>
        <w:tblPrEx>
          <w:tblCellMar>
            <w:top w:w="0" w:type="dxa"/>
            <w:left w:w="108" w:type="dxa"/>
            <w:bottom w:w="0" w:type="dxa"/>
            <w:right w:w="108" w:type="dxa"/>
          </w:tblCellMar>
        </w:tblPrEx>
        <w:trPr>
          <w:trHeight w:val="285"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反馈抑制器</w:t>
            </w:r>
          </w:p>
        </w:tc>
        <w:tc>
          <w:tcPr>
            <w:tcW w:w="29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详见技术要求</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台</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17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AVMEDIA、TY AUDIO、ASHLY　</w:t>
            </w:r>
          </w:p>
        </w:tc>
      </w:tr>
      <w:tr>
        <w:tblPrEx>
          <w:tblCellMar>
            <w:top w:w="0" w:type="dxa"/>
            <w:left w:w="108" w:type="dxa"/>
            <w:bottom w:w="0" w:type="dxa"/>
            <w:right w:w="108" w:type="dxa"/>
          </w:tblCellMar>
        </w:tblPrEx>
        <w:trPr>
          <w:trHeight w:val="48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一拖二无线话筒</w:t>
            </w:r>
          </w:p>
        </w:tc>
        <w:tc>
          <w:tcPr>
            <w:tcW w:w="29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详见技术要求</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套</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SHURE 、AKG、SENNHEISER</w:t>
            </w:r>
          </w:p>
        </w:tc>
      </w:tr>
      <w:tr>
        <w:tblPrEx>
          <w:tblCellMar>
            <w:top w:w="0" w:type="dxa"/>
            <w:left w:w="108" w:type="dxa"/>
            <w:bottom w:w="0" w:type="dxa"/>
            <w:right w:w="108" w:type="dxa"/>
          </w:tblCellMar>
        </w:tblPrEx>
        <w:trPr>
          <w:trHeight w:val="285"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HDMI矩阵</w:t>
            </w:r>
          </w:p>
        </w:tc>
        <w:tc>
          <w:tcPr>
            <w:tcW w:w="29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详见技术要求</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台</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17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AVMEDIA、TY AUDIO、CREATOR　</w:t>
            </w:r>
          </w:p>
        </w:tc>
      </w:tr>
      <w:tr>
        <w:tblPrEx>
          <w:tblCellMar>
            <w:top w:w="0" w:type="dxa"/>
            <w:left w:w="108" w:type="dxa"/>
            <w:bottom w:w="0" w:type="dxa"/>
            <w:right w:w="108" w:type="dxa"/>
          </w:tblCellMar>
        </w:tblPrEx>
        <w:trPr>
          <w:trHeight w:val="48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8路电源时序管理器</w:t>
            </w:r>
          </w:p>
        </w:tc>
        <w:tc>
          <w:tcPr>
            <w:tcW w:w="29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详见技术要求</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只</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17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AVMEDIA、TY AUDIO、CREATOR　</w:t>
            </w:r>
          </w:p>
        </w:tc>
      </w:tr>
      <w:tr>
        <w:tblPrEx>
          <w:tblCellMar>
            <w:top w:w="0" w:type="dxa"/>
            <w:left w:w="108" w:type="dxa"/>
            <w:bottom w:w="0" w:type="dxa"/>
            <w:right w:w="108" w:type="dxa"/>
          </w:tblCellMar>
        </w:tblPrEx>
        <w:trPr>
          <w:trHeight w:val="784"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智能中控主机</w:t>
            </w:r>
          </w:p>
        </w:tc>
        <w:tc>
          <w:tcPr>
            <w:tcW w:w="29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详见技术要求</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17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AVMEDIA、TY AUDIO、CREATOR　</w:t>
            </w:r>
          </w:p>
        </w:tc>
      </w:tr>
      <w:tr>
        <w:tblPrEx>
          <w:tblCellMar>
            <w:top w:w="0" w:type="dxa"/>
            <w:left w:w="108" w:type="dxa"/>
            <w:bottom w:w="0" w:type="dxa"/>
            <w:right w:w="108" w:type="dxa"/>
          </w:tblCellMar>
        </w:tblPrEx>
        <w:trPr>
          <w:trHeight w:val="33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平板电脑</w:t>
            </w:r>
          </w:p>
        </w:tc>
        <w:tc>
          <w:tcPr>
            <w:tcW w:w="29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10寸32GWLAN版IPAD</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台</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苹果</w:t>
            </w:r>
          </w:p>
        </w:tc>
      </w:tr>
      <w:tr>
        <w:tblPrEx>
          <w:tblCellMar>
            <w:top w:w="0" w:type="dxa"/>
            <w:left w:w="108" w:type="dxa"/>
            <w:bottom w:w="0" w:type="dxa"/>
            <w:right w:w="108" w:type="dxa"/>
          </w:tblCellMar>
        </w:tblPrEx>
        <w:trPr>
          <w:trHeight w:val="33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设备柜</w:t>
            </w:r>
          </w:p>
        </w:tc>
        <w:tc>
          <w:tcPr>
            <w:tcW w:w="29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现场定制设备木柜</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套</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定制</w:t>
            </w:r>
          </w:p>
        </w:tc>
      </w:tr>
      <w:tr>
        <w:tblPrEx>
          <w:tblCellMar>
            <w:top w:w="0" w:type="dxa"/>
            <w:left w:w="108" w:type="dxa"/>
            <w:bottom w:w="0" w:type="dxa"/>
            <w:right w:w="108" w:type="dxa"/>
          </w:tblCellMar>
        </w:tblPrEx>
        <w:trPr>
          <w:trHeight w:val="33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无线投屏器</w:t>
            </w:r>
          </w:p>
        </w:tc>
        <w:tc>
          <w:tcPr>
            <w:tcW w:w="29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详见技术要求</w:t>
            </w:r>
          </w:p>
        </w:tc>
        <w:tc>
          <w:tcPr>
            <w:tcW w:w="98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17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国产优质</w:t>
            </w:r>
          </w:p>
        </w:tc>
      </w:tr>
      <w:tr>
        <w:tblPrEx>
          <w:tblCellMar>
            <w:top w:w="0" w:type="dxa"/>
            <w:left w:w="108" w:type="dxa"/>
            <w:bottom w:w="0" w:type="dxa"/>
            <w:right w:w="108" w:type="dxa"/>
          </w:tblCellMar>
        </w:tblPrEx>
        <w:trPr>
          <w:trHeight w:val="33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音响线材</w:t>
            </w:r>
          </w:p>
        </w:tc>
        <w:tc>
          <w:tcPr>
            <w:tcW w:w="29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电源线、音箱线、HDMI线等</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米</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200</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国产优质</w:t>
            </w:r>
          </w:p>
        </w:tc>
      </w:tr>
      <w:tr>
        <w:tblPrEx>
          <w:tblCellMar>
            <w:top w:w="0" w:type="dxa"/>
            <w:left w:w="108" w:type="dxa"/>
            <w:bottom w:w="0" w:type="dxa"/>
            <w:right w:w="108" w:type="dxa"/>
          </w:tblCellMar>
        </w:tblPrEx>
        <w:trPr>
          <w:trHeight w:val="33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视频线材</w:t>
            </w:r>
          </w:p>
        </w:tc>
        <w:tc>
          <w:tcPr>
            <w:tcW w:w="29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HDMI线</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米</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40</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国产优质</w:t>
            </w:r>
          </w:p>
        </w:tc>
      </w:tr>
      <w:tr>
        <w:tblPrEx>
          <w:tblCellMar>
            <w:top w:w="0" w:type="dxa"/>
            <w:left w:w="108" w:type="dxa"/>
            <w:bottom w:w="0" w:type="dxa"/>
            <w:right w:w="108" w:type="dxa"/>
          </w:tblCellMar>
        </w:tblPrEx>
        <w:trPr>
          <w:trHeight w:val="33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控制线材</w:t>
            </w:r>
          </w:p>
        </w:tc>
        <w:tc>
          <w:tcPr>
            <w:tcW w:w="29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电源线，控制线等</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米</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200</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国产优质</w:t>
            </w:r>
          </w:p>
        </w:tc>
      </w:tr>
      <w:tr>
        <w:tblPrEx>
          <w:tblCellMar>
            <w:top w:w="0" w:type="dxa"/>
            <w:left w:w="108" w:type="dxa"/>
            <w:bottom w:w="0" w:type="dxa"/>
            <w:right w:w="108" w:type="dxa"/>
          </w:tblCellMar>
        </w:tblPrEx>
        <w:trPr>
          <w:trHeight w:val="33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音箱挂架</w:t>
            </w:r>
          </w:p>
        </w:tc>
        <w:tc>
          <w:tcPr>
            <w:tcW w:w="29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配套音箱壁挂支架、吊装支架</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只</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国产优质</w:t>
            </w:r>
          </w:p>
        </w:tc>
      </w:tr>
      <w:tr>
        <w:tblPrEx>
          <w:tblCellMar>
            <w:top w:w="0" w:type="dxa"/>
            <w:left w:w="108" w:type="dxa"/>
            <w:bottom w:w="0" w:type="dxa"/>
            <w:right w:w="108" w:type="dxa"/>
          </w:tblCellMar>
        </w:tblPrEx>
        <w:trPr>
          <w:trHeight w:val="72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音响管件/接插件/辅料</w:t>
            </w:r>
          </w:p>
        </w:tc>
        <w:tc>
          <w:tcPr>
            <w:tcW w:w="29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配套卡侬头、6.3接头等</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只</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40</w:t>
            </w:r>
          </w:p>
        </w:tc>
        <w:tc>
          <w:tcPr>
            <w:tcW w:w="11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国产优质</w:t>
            </w:r>
          </w:p>
        </w:tc>
      </w:tr>
      <w:tr>
        <w:tblPrEx>
          <w:tblCellMar>
            <w:top w:w="0" w:type="dxa"/>
            <w:left w:w="108" w:type="dxa"/>
            <w:bottom w:w="0" w:type="dxa"/>
            <w:right w:w="108" w:type="dxa"/>
          </w:tblCellMar>
        </w:tblPrEx>
        <w:trPr>
          <w:trHeight w:val="720" w:hRule="atLeast"/>
          <w:jc w:val="center"/>
        </w:trPr>
        <w:tc>
          <w:tcPr>
            <w:tcW w:w="6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81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视频会议系统</w:t>
            </w: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高清视频终端</w:t>
            </w:r>
          </w:p>
        </w:tc>
        <w:tc>
          <w:tcPr>
            <w:tcW w:w="29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详见技术要求</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套</w:t>
            </w:r>
          </w:p>
        </w:tc>
        <w:tc>
          <w:tcPr>
            <w:tcW w:w="117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华为BOX300-1080P30</w:t>
            </w:r>
          </w:p>
        </w:tc>
      </w:tr>
      <w:tr>
        <w:tblPrEx>
          <w:tblCellMar>
            <w:top w:w="0" w:type="dxa"/>
            <w:left w:w="108" w:type="dxa"/>
            <w:bottom w:w="0" w:type="dxa"/>
            <w:right w:w="108" w:type="dxa"/>
          </w:tblCellMar>
        </w:tblPrEx>
        <w:trPr>
          <w:trHeight w:val="480"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高清摄像机</w:t>
            </w:r>
          </w:p>
        </w:tc>
        <w:tc>
          <w:tcPr>
            <w:tcW w:w="29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详见技术要求</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台</w:t>
            </w:r>
          </w:p>
        </w:tc>
        <w:tc>
          <w:tcPr>
            <w:tcW w:w="117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华为Camera200</w:t>
            </w:r>
          </w:p>
        </w:tc>
      </w:tr>
      <w:tr>
        <w:tblPrEx>
          <w:tblCellMar>
            <w:top w:w="0" w:type="dxa"/>
            <w:left w:w="108" w:type="dxa"/>
            <w:bottom w:w="0" w:type="dxa"/>
            <w:right w:w="108" w:type="dxa"/>
          </w:tblCellMar>
        </w:tblPrEx>
        <w:trPr>
          <w:trHeight w:val="285" w:hRule="atLeast"/>
          <w:jc w:val="center"/>
        </w:trPr>
        <w:tc>
          <w:tcPr>
            <w:tcW w:w="68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81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仿宋"/>
                <w:kern w:val="0"/>
                <w:sz w:val="24"/>
                <w:szCs w:val="24"/>
              </w:rPr>
            </w:pPr>
          </w:p>
        </w:tc>
        <w:tc>
          <w:tcPr>
            <w:tcW w:w="107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麦克风</w:t>
            </w:r>
          </w:p>
        </w:tc>
        <w:tc>
          <w:tcPr>
            <w:tcW w:w="293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配套麦克风</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台</w:t>
            </w:r>
          </w:p>
        </w:tc>
        <w:tc>
          <w:tcPr>
            <w:tcW w:w="117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VPM220</w:t>
            </w:r>
          </w:p>
        </w:tc>
      </w:tr>
    </w:tbl>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五.其他要求</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1.项目交付地点：采购人指定地点。</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2.项目交付时间：采购人规定时间内。</w:t>
      </w:r>
    </w:p>
    <w:p>
      <w:pPr>
        <w:widowControl/>
        <w:jc w:val="left"/>
        <w:rPr>
          <w:rFonts w:ascii="仿宋" w:hAnsi="仿宋" w:eastAsia="仿宋"/>
          <w:sz w:val="28"/>
          <w:szCs w:val="28"/>
        </w:rPr>
      </w:pPr>
      <w:r>
        <w:rPr>
          <w:rFonts w:ascii="仿宋" w:hAnsi="仿宋" w:eastAsia="仿宋"/>
          <w:sz w:val="28"/>
          <w:szCs w:val="28"/>
        </w:rPr>
        <w:br w:type="page"/>
      </w:r>
    </w:p>
    <w:p>
      <w:pPr>
        <w:pStyle w:val="2"/>
        <w:spacing w:before="159" w:beforeLines="50" w:after="159" w:afterLines="50" w:line="360" w:lineRule="auto"/>
        <w:jc w:val="center"/>
        <w:rPr>
          <w:rFonts w:ascii="仿宋" w:hAnsi="仿宋" w:eastAsia="仿宋"/>
        </w:rPr>
      </w:pPr>
      <w:r>
        <w:rPr>
          <w:rFonts w:hint="eastAsia" w:ascii="仿宋" w:hAnsi="仿宋" w:eastAsia="仿宋"/>
        </w:rPr>
        <w:t>第四部分 评审程序和内容</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一、本代理机构组织磋商活动</w:t>
      </w:r>
    </w:p>
    <w:p>
      <w:pPr>
        <w:widowControl/>
        <w:shd w:val="clear" w:color="auto" w:fill="FFFFFF"/>
        <w:spacing w:line="360" w:lineRule="auto"/>
        <w:ind w:firstLine="562" w:firstLineChars="200"/>
        <w:jc w:val="left"/>
        <w:rPr>
          <w:rFonts w:ascii="仿宋" w:hAnsi="仿宋" w:eastAsia="仿宋" w:cs="仿宋"/>
          <w:sz w:val="28"/>
          <w:szCs w:val="28"/>
        </w:rPr>
      </w:pPr>
      <w:r>
        <w:rPr>
          <w:rFonts w:hint="eastAsia" w:ascii="仿宋" w:hAnsi="仿宋" w:eastAsia="仿宋" w:cs="仿宋"/>
          <w:b/>
          <w:sz w:val="28"/>
          <w:szCs w:val="28"/>
        </w:rPr>
        <w:t>1.成立竞争性磋商小组。</w:t>
      </w:r>
      <w:r>
        <w:rPr>
          <w:rFonts w:hint="eastAsia" w:ascii="仿宋" w:hAnsi="仿宋" w:eastAsia="仿宋" w:cs="仿宋"/>
          <w:sz w:val="28"/>
          <w:szCs w:val="28"/>
        </w:rPr>
        <w:t>竞争性磋商小组由采购人代表和评审专家共3人以上单数组成，其中评审专家人数不得少于竞争性磋商小组成员总数的2/3。超过公开磋商限额标准的项目，竞争性磋商小组应当由5人以上单数组成。</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2.竞争性磋商小组的职责：</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磋商文件内容违反国家有关强制性规定的，磋商小组应当停止评审并向采购人或者采购代理机构说明情况。</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3.竞争性磋商小组成员的义务：</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遵纪守法，客观、公正、廉洁地履行职责；根据采购文件的规定独立进行评审，对个人的评审意见承担法律责任；参与评审报告的起草；配合采购人答复供应商提出的质疑；配合财政部门的投诉处理和监督检查工作。</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二、供应商的法定代表人或授权人须持身份证准时参加磋商。</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三、评审程序、内容</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磋商小组应当对响应文件进行评审，并根据磋商文件规定的程序、评定成交的标准等事项与实质性响应磋商文件要求的供应商进行磋商。未实质性响应磋商文件的响应文件按无效处理，磋商小组应当告知有关供应商。</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2.磋商小组所有成员应当集中与单一供应商分别进行磋商，并给予所有参加磋商的供应商平等的磋商机会。</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3.在磋商过程中，磋商小组可以根据磋商文件和磋商情况实质性变动采购需求中的技术、服务要求以及合同草案条款，但不得变动磋商文件中的其他内容。实质性变动的内容，须经采购人代表确认。</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对磋商文件作出的实质性变动是磋商文件的有效组成部分，磋商小组应当及时以书面形式同时通知所有参加磋商的供应商。</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4.磋商文件能够详细列明采购标的的技术、服务要求的，磋商结束后，磋商小组应当要求所有实质性响应的供应商在规定时间内提交最后报价，提交最后报价的供应商不得少于3家。</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市场竞争不充分的科研项目，以及需要扶持的科技成果转化项目，提交最后报价的供应商可以是2家。</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5.最后报价是供应商响应文件的有效组成部分。</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6.已提交响应文件的供应商，在提交最后报价之前，可以根据磋商情况退出磋商。采购人、代理机构应当退还退出磋商的供应商的保证金。</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7.磋商时间由磋商小组掌握。</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四、评审方法-综合评分法</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经磋商确定最终采购需求和提交最后报价的供应商后，由磋商小组采用综合评分法对提交最后报价的供应商的响应文件和最后报价进行综合评分。</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综合评分法，是指响应文件满足磋商文件全部实质性要求且按评审因素的量化指标评审得分最高的供应商为成交候选供应商的评审方法。</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评审时，磋商小组各成员应当独立对每个有效响应的文件进行评价、打分，然后汇总每个供应商每项评分因素的得分。</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（一）审查响应文件的有效性、完整性、响应程度</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1.要求的保证金是否已提供；</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2.供应商资格是否符合；</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3.响应文件是否完整；</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4.响应文件是否恰当地签署；</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5.是否作出实质性响应（是否有实质性响应，只根据响应文件本身，而不寻求外部证据）；</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6.是否有计算错误。</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（二）误差纠正</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1.如果单价汇总金额与总价金额有出入，以单价金额计算结果为准；</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2.单价金额小数点有明显错位的，应以总价为准；</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3.正本与副本有矛盾的，以正本为准；</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（三）出现下列情形之一的，作无效响应处理</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1.未按照磋商文件规定要求装订、密封、签署、盖章的；</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2.不具备磋商文件中规定的资格要求的；</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3.响应报价超出预算的；</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4.不符合法律、法规和磋商文件中规定的其他实质性要求的。</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（四）出现下列情形之一的，磋商失败</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1.符合条件的供应商或者对磋商文件作实质响应的供应商不足3家的（市场竞争不充分的科研项目，以及需要扶持的科技成果转化项目可以是2家）；</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2.出现影响采购公正的违法违规行为的；</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3.供应商的最后报价均超过了采购预算，采购人不能支付的；</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4.因重大变故，采购任务取消的。</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本级财政部门。</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五、评审标准</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（一）商务技术分：70分</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如果磋商小组由3人组成，供应商得分为磋商小组3个成员的平均分；如果磋商小组由5人以上组成，供应商得分为磋商小组成员评分中去除一个最高分和一个最低分后的平均分,分值保留小数点后两位。以下所设分值均为各条评分最大得分值。</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974"/>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vAlign w:val="center"/>
          </w:tcPr>
          <w:p>
            <w:pPr>
              <w:tabs>
                <w:tab w:val="left" w:pos="0"/>
              </w:tabs>
              <w:spacing w:before="120" w:line="288" w:lineRule="auto"/>
              <w:jc w:val="center"/>
              <w:rPr>
                <w:rFonts w:ascii="仿宋" w:hAnsi="仿宋" w:eastAsia="仿宋" w:cs="宋体"/>
                <w:b/>
                <w:bCs/>
                <w:sz w:val="24"/>
                <w:szCs w:val="24"/>
                <w:lang w:val="zh-CN"/>
              </w:rPr>
            </w:pPr>
            <w:r>
              <w:rPr>
                <w:rFonts w:hint="eastAsia" w:ascii="仿宋" w:hAnsi="仿宋" w:eastAsia="仿宋" w:cs="宋体"/>
                <w:b/>
                <w:bCs/>
                <w:sz w:val="24"/>
                <w:szCs w:val="24"/>
                <w:lang w:val="zh-CN"/>
              </w:rPr>
              <w:t>评分项</w:t>
            </w:r>
          </w:p>
        </w:tc>
        <w:tc>
          <w:tcPr>
            <w:tcW w:w="974" w:type="dxa"/>
            <w:vAlign w:val="center"/>
          </w:tcPr>
          <w:p>
            <w:pPr>
              <w:tabs>
                <w:tab w:val="left" w:pos="0"/>
              </w:tabs>
              <w:spacing w:before="120" w:line="288" w:lineRule="auto"/>
              <w:jc w:val="center"/>
              <w:rPr>
                <w:rFonts w:ascii="仿宋" w:hAnsi="仿宋" w:eastAsia="仿宋" w:cs="宋体"/>
                <w:b/>
                <w:bCs/>
                <w:sz w:val="24"/>
                <w:szCs w:val="24"/>
                <w:lang w:val="zh-CN"/>
              </w:rPr>
            </w:pPr>
            <w:r>
              <w:rPr>
                <w:rFonts w:hint="eastAsia" w:ascii="仿宋" w:hAnsi="仿宋" w:eastAsia="仿宋" w:cs="宋体"/>
                <w:b/>
                <w:bCs/>
                <w:sz w:val="24"/>
                <w:szCs w:val="24"/>
                <w:lang w:val="zh-CN"/>
              </w:rPr>
              <w:t>分值</w:t>
            </w:r>
          </w:p>
        </w:tc>
        <w:tc>
          <w:tcPr>
            <w:tcW w:w="6365" w:type="dxa"/>
            <w:vAlign w:val="center"/>
          </w:tcPr>
          <w:p>
            <w:pPr>
              <w:tabs>
                <w:tab w:val="left" w:pos="0"/>
              </w:tabs>
              <w:spacing w:before="120" w:line="288" w:lineRule="auto"/>
              <w:jc w:val="center"/>
              <w:rPr>
                <w:rFonts w:ascii="仿宋" w:hAnsi="仿宋" w:eastAsia="仿宋" w:cs="宋体"/>
                <w:b/>
                <w:bCs/>
                <w:sz w:val="24"/>
                <w:szCs w:val="24"/>
                <w:lang w:val="zh-CN"/>
              </w:rPr>
            </w:pPr>
            <w:r>
              <w:rPr>
                <w:rFonts w:hint="eastAsia" w:ascii="仿宋" w:hAnsi="仿宋" w:eastAsia="仿宋" w:cs="宋体"/>
                <w:b/>
                <w:bCs/>
                <w:sz w:val="24"/>
                <w:szCs w:val="24"/>
                <w:lang w:val="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vAlign w:val="center"/>
          </w:tcPr>
          <w:p>
            <w:pPr>
              <w:tabs>
                <w:tab w:val="left" w:pos="0"/>
              </w:tabs>
              <w:spacing w:before="120" w:line="288" w:lineRule="auto"/>
              <w:rPr>
                <w:rFonts w:ascii="仿宋" w:hAnsi="仿宋" w:eastAsia="仿宋" w:cs="宋体"/>
                <w:sz w:val="24"/>
                <w:szCs w:val="24"/>
                <w:lang w:val="zh-CN"/>
              </w:rPr>
            </w:pPr>
            <w:r>
              <w:rPr>
                <w:rFonts w:hint="eastAsia" w:ascii="仿宋" w:hAnsi="仿宋" w:eastAsia="仿宋" w:cs="宋体"/>
                <w:sz w:val="24"/>
                <w:szCs w:val="24"/>
                <w:lang w:val="zh-CN"/>
              </w:rPr>
              <w:t>案例业绩</w:t>
            </w:r>
          </w:p>
        </w:tc>
        <w:tc>
          <w:tcPr>
            <w:tcW w:w="974" w:type="dxa"/>
            <w:vAlign w:val="center"/>
          </w:tcPr>
          <w:p>
            <w:pPr>
              <w:tabs>
                <w:tab w:val="left" w:pos="0"/>
              </w:tabs>
              <w:spacing w:before="120" w:line="288" w:lineRule="auto"/>
              <w:rPr>
                <w:rFonts w:ascii="仿宋" w:hAnsi="仿宋" w:eastAsia="仿宋" w:cs="宋体"/>
                <w:sz w:val="24"/>
                <w:szCs w:val="24"/>
                <w:lang w:val="zh-CN"/>
              </w:rPr>
            </w:pPr>
            <w:r>
              <w:rPr>
                <w:rFonts w:hint="eastAsia" w:ascii="仿宋" w:hAnsi="仿宋" w:eastAsia="仿宋" w:cs="宋体"/>
                <w:sz w:val="24"/>
                <w:szCs w:val="24"/>
                <w:lang w:val="zh-CN"/>
              </w:rPr>
              <w:t>5</w:t>
            </w:r>
          </w:p>
        </w:tc>
        <w:tc>
          <w:tcPr>
            <w:tcW w:w="6365" w:type="dxa"/>
            <w:vAlign w:val="center"/>
          </w:tcPr>
          <w:p>
            <w:pPr>
              <w:tabs>
                <w:tab w:val="left" w:pos="0"/>
              </w:tabs>
              <w:spacing w:before="120" w:line="288" w:lineRule="auto"/>
              <w:rPr>
                <w:rFonts w:ascii="仿宋" w:hAnsi="仿宋" w:eastAsia="仿宋" w:cs="宋体"/>
                <w:sz w:val="24"/>
                <w:szCs w:val="24"/>
                <w:lang w:val="zh-CN"/>
              </w:rPr>
            </w:pPr>
            <w:r>
              <w:rPr>
                <w:rFonts w:hint="eastAsia" w:ascii="仿宋" w:hAnsi="仿宋" w:eastAsia="仿宋" w:cs="宋体"/>
                <w:sz w:val="24"/>
                <w:szCs w:val="24"/>
                <w:lang w:val="zh-CN"/>
              </w:rPr>
              <w:t>投标人自2017年1月1日之后具有类似视频会议项目案例，合同金额100万元以上，得5分；50万元到100万元之间的案例，得3分；50万以下，得1分；其余情况不得分；仅需提供一个案例，多案例不累加得分，案例必须提供合同扫描复印件，原件备查，最高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vAlign w:val="center"/>
          </w:tcPr>
          <w:p>
            <w:pPr>
              <w:tabs>
                <w:tab w:val="left" w:pos="0"/>
              </w:tabs>
              <w:spacing w:before="120" w:line="288" w:lineRule="auto"/>
              <w:rPr>
                <w:rFonts w:ascii="仿宋" w:hAnsi="仿宋" w:eastAsia="仿宋" w:cs="宋体"/>
                <w:sz w:val="24"/>
                <w:szCs w:val="24"/>
                <w:lang w:val="zh-CN"/>
              </w:rPr>
            </w:pPr>
            <w:r>
              <w:rPr>
                <w:rFonts w:hint="eastAsia" w:ascii="仿宋" w:hAnsi="仿宋" w:eastAsia="仿宋" w:cs="宋体"/>
                <w:sz w:val="24"/>
                <w:szCs w:val="24"/>
                <w:lang w:val="zh-CN"/>
              </w:rPr>
              <w:t>品牌</w:t>
            </w:r>
          </w:p>
        </w:tc>
        <w:tc>
          <w:tcPr>
            <w:tcW w:w="974" w:type="dxa"/>
            <w:vAlign w:val="center"/>
          </w:tcPr>
          <w:p>
            <w:pPr>
              <w:tabs>
                <w:tab w:val="left" w:pos="0"/>
              </w:tabs>
              <w:spacing w:before="120" w:line="288" w:lineRule="auto"/>
              <w:rPr>
                <w:rFonts w:ascii="仿宋" w:hAnsi="仿宋" w:eastAsia="仿宋" w:cs="宋体"/>
                <w:sz w:val="24"/>
                <w:szCs w:val="24"/>
                <w:lang w:val="zh-CN"/>
              </w:rPr>
            </w:pPr>
            <w:r>
              <w:rPr>
                <w:rFonts w:hint="eastAsia" w:ascii="仿宋" w:hAnsi="仿宋" w:eastAsia="仿宋" w:cs="宋体"/>
                <w:sz w:val="24"/>
                <w:szCs w:val="24"/>
                <w:lang w:val="zh-CN"/>
              </w:rPr>
              <w:t>5</w:t>
            </w:r>
          </w:p>
        </w:tc>
        <w:tc>
          <w:tcPr>
            <w:tcW w:w="6365" w:type="dxa"/>
            <w:vAlign w:val="center"/>
          </w:tcPr>
          <w:p>
            <w:pPr>
              <w:tabs>
                <w:tab w:val="left" w:pos="0"/>
              </w:tabs>
              <w:spacing w:before="120" w:line="288" w:lineRule="auto"/>
              <w:rPr>
                <w:rFonts w:ascii="仿宋" w:hAnsi="仿宋" w:eastAsia="仿宋" w:cs="宋体"/>
                <w:sz w:val="24"/>
                <w:szCs w:val="24"/>
                <w:lang w:val="zh-CN"/>
              </w:rPr>
            </w:pPr>
            <w:r>
              <w:rPr>
                <w:rFonts w:hint="eastAsia" w:ascii="仿宋" w:hAnsi="仿宋" w:eastAsia="仿宋" w:cs="宋体"/>
                <w:sz w:val="24"/>
                <w:szCs w:val="24"/>
                <w:lang w:val="zh-CN"/>
              </w:rPr>
              <w:t>备选品牌已进行过相关功能测试，投标产品品牌若为备选品牌，此项得满分，所投品牌为其他品牌的，其性能参数必须等于或优于建议品牌。同时投标供应商应当在投标时提供以下资料：①由相关权威机构出具的检测报告；②技术白皮书；③生产许可证；④由厂家出具的针对本项目的授权书以及技术功能实现确认函（若①②③④项出具材料为复印件，则需加盖厂家红章，并放入技术响应文件内，若①②③④项出具材料为原件的，则放入投标响应资料原件包内，不满足上述要求的，将不予以认可），当三分之二评委一致认定，所选品牌档次及技术参数低于建议品牌的，将作无效响应处理。资料提供完善后，由评委根据市场占有率、市场知名度酌情打分，此项最高得5分。如未提供上述资料，视作未实质性响应招标文件要求。不满足上述要求的，评委可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jc w:val="center"/>
        </w:trPr>
        <w:tc>
          <w:tcPr>
            <w:tcW w:w="1488" w:type="dxa"/>
            <w:vAlign w:val="center"/>
          </w:tcPr>
          <w:p>
            <w:pPr>
              <w:tabs>
                <w:tab w:val="left" w:pos="0"/>
              </w:tabs>
              <w:spacing w:before="120" w:line="288" w:lineRule="auto"/>
              <w:rPr>
                <w:rFonts w:ascii="仿宋" w:hAnsi="仿宋" w:eastAsia="仿宋" w:cs="宋体"/>
                <w:sz w:val="24"/>
                <w:szCs w:val="24"/>
                <w:lang w:val="zh-CN"/>
              </w:rPr>
            </w:pPr>
            <w:r>
              <w:rPr>
                <w:rFonts w:hint="eastAsia" w:ascii="仿宋" w:hAnsi="仿宋" w:eastAsia="仿宋" w:cs="宋体"/>
                <w:sz w:val="24"/>
                <w:szCs w:val="24"/>
                <w:lang w:val="zh-CN"/>
              </w:rPr>
              <w:t>参数技术指标</w:t>
            </w:r>
          </w:p>
        </w:tc>
        <w:tc>
          <w:tcPr>
            <w:tcW w:w="974" w:type="dxa"/>
            <w:vAlign w:val="center"/>
          </w:tcPr>
          <w:p>
            <w:pPr>
              <w:tabs>
                <w:tab w:val="left" w:pos="0"/>
              </w:tabs>
              <w:spacing w:before="120" w:line="288" w:lineRule="auto"/>
              <w:rPr>
                <w:rFonts w:ascii="仿宋" w:hAnsi="仿宋" w:eastAsia="仿宋" w:cs="宋体"/>
                <w:sz w:val="24"/>
                <w:szCs w:val="24"/>
                <w:lang w:val="zh-CN"/>
              </w:rPr>
            </w:pPr>
            <w:r>
              <w:rPr>
                <w:rFonts w:hint="eastAsia" w:ascii="仿宋" w:hAnsi="仿宋" w:eastAsia="仿宋" w:cs="宋体"/>
                <w:sz w:val="24"/>
                <w:szCs w:val="24"/>
                <w:lang w:val="zh-CN"/>
              </w:rPr>
              <w:t>50</w:t>
            </w:r>
          </w:p>
        </w:tc>
        <w:tc>
          <w:tcPr>
            <w:tcW w:w="6365" w:type="dxa"/>
            <w:vAlign w:val="center"/>
          </w:tcPr>
          <w:p>
            <w:pPr>
              <w:tabs>
                <w:tab w:val="left" w:pos="0"/>
              </w:tabs>
              <w:spacing w:before="120" w:line="288" w:lineRule="auto"/>
              <w:rPr>
                <w:rFonts w:ascii="仿宋" w:hAnsi="仿宋" w:eastAsia="仿宋" w:cs="宋体"/>
                <w:sz w:val="24"/>
                <w:szCs w:val="24"/>
                <w:lang w:val="zh-CN"/>
              </w:rPr>
            </w:pPr>
            <w:r>
              <w:rPr>
                <w:rFonts w:hint="eastAsia" w:ascii="仿宋" w:hAnsi="仿宋" w:eastAsia="仿宋" w:cs="宋体"/>
                <w:sz w:val="24"/>
                <w:szCs w:val="24"/>
                <w:lang w:val="zh-CN"/>
              </w:rPr>
              <w:t>1.评委根据投标人所投产品性能技术参数针对招标文件要求的响应程度酌情打分；</w:t>
            </w:r>
          </w:p>
          <w:p>
            <w:pPr>
              <w:tabs>
                <w:tab w:val="left" w:pos="0"/>
              </w:tabs>
              <w:spacing w:before="120" w:line="288" w:lineRule="auto"/>
              <w:rPr>
                <w:rFonts w:ascii="仿宋" w:hAnsi="仿宋" w:eastAsia="仿宋" w:cs="宋体"/>
                <w:sz w:val="24"/>
                <w:szCs w:val="24"/>
                <w:lang w:val="zh-CN"/>
              </w:rPr>
            </w:pPr>
            <w:r>
              <w:rPr>
                <w:rFonts w:hint="eastAsia" w:ascii="仿宋" w:hAnsi="仿宋" w:eastAsia="仿宋" w:cs="宋体"/>
                <w:sz w:val="24"/>
                <w:szCs w:val="24"/>
                <w:lang w:val="zh-CN"/>
              </w:rPr>
              <w:t>2、相应产品规格和技术参数需在技术偏离表中逐条应答（需按要求提供加盖原厂公章得相关佐证材料），带“</w:t>
            </w:r>
            <w:r>
              <w:rPr>
                <w:rFonts w:hint="eastAsia" w:ascii="仿宋" w:hAnsi="仿宋" w:eastAsia="仿宋" w:cs="宋体"/>
                <w:b/>
                <w:sz w:val="24"/>
                <w:szCs w:val="24"/>
              </w:rPr>
              <w:t>★</w:t>
            </w:r>
            <w:r>
              <w:rPr>
                <w:rFonts w:hint="eastAsia" w:ascii="仿宋" w:hAnsi="仿宋" w:eastAsia="仿宋" w:cs="宋体"/>
                <w:sz w:val="24"/>
                <w:szCs w:val="24"/>
                <w:lang w:val="zh-CN"/>
              </w:rPr>
              <w:t>”符号项有1项不满足扣5分，非“</w:t>
            </w:r>
            <w:r>
              <w:rPr>
                <w:rFonts w:hint="eastAsia" w:ascii="仿宋" w:hAnsi="仿宋" w:eastAsia="仿宋" w:cs="宋体"/>
                <w:b/>
                <w:sz w:val="24"/>
                <w:szCs w:val="24"/>
              </w:rPr>
              <w:t>★</w:t>
            </w:r>
            <w:r>
              <w:rPr>
                <w:rFonts w:hint="eastAsia" w:ascii="仿宋" w:hAnsi="仿宋" w:eastAsia="仿宋" w:cs="宋体"/>
                <w:sz w:val="24"/>
                <w:szCs w:val="24"/>
                <w:lang w:val="zh-CN"/>
              </w:rPr>
              <w:t>”符号项有1项不满足扣1分，扣完为止，未按要求提供相关佐证材料的做扣分处理；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vAlign w:val="center"/>
          </w:tcPr>
          <w:p>
            <w:pPr>
              <w:tabs>
                <w:tab w:val="left" w:pos="0"/>
              </w:tabs>
              <w:spacing w:before="120" w:line="288" w:lineRule="auto"/>
              <w:rPr>
                <w:rFonts w:ascii="仿宋" w:hAnsi="仿宋" w:eastAsia="仿宋" w:cs="宋体"/>
                <w:sz w:val="24"/>
                <w:szCs w:val="24"/>
                <w:highlight w:val="red"/>
                <w:lang w:val="zh-CN"/>
              </w:rPr>
            </w:pPr>
            <w:r>
              <w:rPr>
                <w:rFonts w:hint="eastAsia" w:ascii="仿宋" w:hAnsi="仿宋" w:eastAsia="仿宋" w:cs="宋体"/>
                <w:sz w:val="24"/>
                <w:szCs w:val="24"/>
                <w:lang w:val="zh-CN"/>
              </w:rPr>
              <w:t>项目规划方案</w:t>
            </w:r>
          </w:p>
        </w:tc>
        <w:tc>
          <w:tcPr>
            <w:tcW w:w="974" w:type="dxa"/>
            <w:vAlign w:val="center"/>
          </w:tcPr>
          <w:p>
            <w:pPr>
              <w:tabs>
                <w:tab w:val="left" w:pos="0"/>
              </w:tabs>
              <w:spacing w:before="120" w:line="288" w:lineRule="auto"/>
              <w:rPr>
                <w:rFonts w:ascii="仿宋" w:hAnsi="仿宋" w:eastAsia="仿宋" w:cs="宋体"/>
                <w:sz w:val="24"/>
                <w:szCs w:val="24"/>
                <w:lang w:val="zh-CN"/>
              </w:rPr>
            </w:pPr>
            <w:r>
              <w:rPr>
                <w:rFonts w:hint="eastAsia" w:ascii="仿宋" w:hAnsi="仿宋" w:eastAsia="仿宋" w:cs="宋体"/>
                <w:sz w:val="24"/>
                <w:szCs w:val="24"/>
                <w:lang w:val="zh-CN"/>
              </w:rPr>
              <w:t>5</w:t>
            </w:r>
          </w:p>
        </w:tc>
        <w:tc>
          <w:tcPr>
            <w:tcW w:w="6365" w:type="dxa"/>
            <w:vAlign w:val="center"/>
          </w:tcPr>
          <w:p>
            <w:pPr>
              <w:tabs>
                <w:tab w:val="left" w:pos="0"/>
              </w:tabs>
              <w:spacing w:before="120" w:line="288" w:lineRule="auto"/>
              <w:rPr>
                <w:rFonts w:ascii="仿宋" w:hAnsi="仿宋" w:eastAsia="仿宋" w:cs="宋体"/>
                <w:sz w:val="24"/>
                <w:szCs w:val="24"/>
                <w:lang w:val="zh-CN"/>
              </w:rPr>
            </w:pPr>
            <w:r>
              <w:rPr>
                <w:rFonts w:hint="eastAsia" w:ascii="仿宋" w:hAnsi="仿宋" w:eastAsia="仿宋" w:cs="宋体"/>
                <w:sz w:val="24"/>
                <w:szCs w:val="24"/>
                <w:lang w:val="zh-CN"/>
              </w:rPr>
              <w:t xml:space="preserve">针对该项目的详细规划方案（5分） </w:t>
            </w:r>
          </w:p>
          <w:p>
            <w:pPr>
              <w:tabs>
                <w:tab w:val="left" w:pos="0"/>
              </w:tabs>
              <w:spacing w:before="120" w:line="288" w:lineRule="auto"/>
              <w:rPr>
                <w:rFonts w:ascii="仿宋" w:hAnsi="仿宋" w:eastAsia="仿宋" w:cs="宋体"/>
                <w:sz w:val="24"/>
                <w:szCs w:val="24"/>
                <w:lang w:val="zh-CN"/>
              </w:rPr>
            </w:pPr>
            <w:r>
              <w:rPr>
                <w:rFonts w:hint="eastAsia" w:ascii="仿宋" w:hAnsi="仿宋" w:eastAsia="仿宋" w:cs="宋体"/>
                <w:sz w:val="24"/>
                <w:szCs w:val="24"/>
                <w:lang w:val="zh-CN"/>
              </w:rPr>
              <w:t>（1）投标技术方案是否合理可行、具有针对性；（满分2分）（2）施工进度计划和各阶段进度的保证措施，各工序安排是否得当，设备及人力分配使用是否合理；（满分1分）</w:t>
            </w:r>
          </w:p>
          <w:p>
            <w:pPr>
              <w:tabs>
                <w:tab w:val="left" w:pos="0"/>
              </w:tabs>
              <w:spacing w:before="120" w:line="288" w:lineRule="auto"/>
              <w:rPr>
                <w:rFonts w:ascii="仿宋" w:hAnsi="仿宋" w:eastAsia="仿宋" w:cs="宋体"/>
                <w:sz w:val="24"/>
                <w:szCs w:val="24"/>
                <w:lang w:val="zh-CN"/>
              </w:rPr>
            </w:pPr>
            <w:r>
              <w:rPr>
                <w:rFonts w:hint="eastAsia" w:ascii="仿宋" w:hAnsi="仿宋" w:eastAsia="仿宋" w:cs="宋体"/>
                <w:sz w:val="24"/>
                <w:szCs w:val="24"/>
                <w:lang w:val="zh-CN"/>
              </w:rPr>
              <w:t>（3）是否提出了详细的切实可行的验收细则及验收标准；（满分1分）</w:t>
            </w:r>
          </w:p>
          <w:p>
            <w:pPr>
              <w:tabs>
                <w:tab w:val="left" w:pos="0"/>
              </w:tabs>
              <w:spacing w:before="120" w:line="288" w:lineRule="auto"/>
              <w:rPr>
                <w:rFonts w:ascii="仿宋" w:hAnsi="仿宋" w:eastAsia="仿宋" w:cs="宋体"/>
                <w:sz w:val="24"/>
                <w:szCs w:val="24"/>
                <w:lang w:val="zh-CN"/>
              </w:rPr>
            </w:pPr>
            <w:r>
              <w:rPr>
                <w:rFonts w:hint="eastAsia" w:ascii="仿宋" w:hAnsi="仿宋" w:eastAsia="仿宋" w:cs="宋体"/>
                <w:sz w:val="24"/>
                <w:szCs w:val="24"/>
                <w:lang w:val="zh-CN"/>
              </w:rPr>
              <w:t>（4）调试的方案及质量控制措施是否满足要求、安全可靠、具有针对性；（满分1分）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vAlign w:val="center"/>
          </w:tcPr>
          <w:p>
            <w:pPr>
              <w:tabs>
                <w:tab w:val="left" w:pos="0"/>
              </w:tabs>
              <w:spacing w:before="120" w:line="288" w:lineRule="auto"/>
              <w:rPr>
                <w:rFonts w:ascii="仿宋" w:hAnsi="仿宋" w:eastAsia="仿宋" w:cs="宋体"/>
                <w:sz w:val="24"/>
                <w:szCs w:val="24"/>
                <w:lang w:val="zh-CN"/>
              </w:rPr>
            </w:pPr>
            <w:r>
              <w:rPr>
                <w:rFonts w:hint="eastAsia" w:ascii="仿宋" w:hAnsi="仿宋" w:eastAsia="仿宋" w:cs="宋体"/>
                <w:sz w:val="24"/>
                <w:szCs w:val="24"/>
                <w:lang w:val="zh-CN"/>
              </w:rPr>
              <w:t>售后服务</w:t>
            </w:r>
          </w:p>
        </w:tc>
        <w:tc>
          <w:tcPr>
            <w:tcW w:w="974" w:type="dxa"/>
            <w:vAlign w:val="center"/>
          </w:tcPr>
          <w:p>
            <w:pPr>
              <w:tabs>
                <w:tab w:val="left" w:pos="0"/>
              </w:tabs>
              <w:spacing w:before="120" w:line="288" w:lineRule="auto"/>
              <w:rPr>
                <w:rFonts w:ascii="仿宋" w:hAnsi="仿宋" w:eastAsia="仿宋" w:cs="宋体"/>
                <w:sz w:val="24"/>
                <w:szCs w:val="24"/>
                <w:lang w:val="zh-CN"/>
              </w:rPr>
            </w:pPr>
            <w:r>
              <w:rPr>
                <w:rFonts w:hint="eastAsia" w:ascii="仿宋" w:hAnsi="仿宋" w:eastAsia="仿宋" w:cs="宋体"/>
                <w:sz w:val="24"/>
                <w:szCs w:val="24"/>
                <w:lang w:val="zh-CN"/>
              </w:rPr>
              <w:t>5</w:t>
            </w:r>
          </w:p>
        </w:tc>
        <w:tc>
          <w:tcPr>
            <w:tcW w:w="6365" w:type="dxa"/>
            <w:vAlign w:val="center"/>
          </w:tcPr>
          <w:p>
            <w:pPr>
              <w:tabs>
                <w:tab w:val="left" w:pos="0"/>
              </w:tabs>
              <w:spacing w:before="120" w:line="288" w:lineRule="auto"/>
              <w:rPr>
                <w:rFonts w:ascii="仿宋" w:hAnsi="仿宋" w:eastAsia="仿宋" w:cs="宋体"/>
                <w:sz w:val="24"/>
                <w:szCs w:val="24"/>
                <w:lang w:val="zh-CN"/>
              </w:rPr>
            </w:pPr>
            <w:r>
              <w:rPr>
                <w:rFonts w:hint="eastAsia" w:ascii="仿宋" w:hAnsi="仿宋" w:eastAsia="仿宋" w:cs="宋体"/>
                <w:sz w:val="24"/>
                <w:szCs w:val="24"/>
                <w:lang w:val="zh-CN"/>
              </w:rPr>
              <w:t>根据服务、培训及履约能力保障方案，由专家酌情打分，优：5分，良：3分，一般1-2分。无服务、培训及履约能力保障方案不得分。</w:t>
            </w:r>
          </w:p>
        </w:tc>
      </w:tr>
    </w:tbl>
    <w:p>
      <w:pPr>
        <w:widowControl/>
        <w:shd w:val="clear" w:color="auto" w:fill="FFFFFF"/>
        <w:spacing w:line="360" w:lineRule="auto"/>
        <w:ind w:firstLine="562" w:firstLineChars="200"/>
        <w:jc w:val="left"/>
        <w:rPr>
          <w:rFonts w:ascii="仿宋" w:hAnsi="仿宋" w:eastAsia="仿宋" w:cs="仿宋"/>
          <w:b/>
          <w:sz w:val="28"/>
          <w:szCs w:val="28"/>
          <w:highlight w:val="yellow"/>
        </w:rPr>
      </w:pP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（二）价格分：30分</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综合评分法中的价格分统一采用</w:t>
      </w:r>
      <w:r>
        <w:rPr>
          <w:rFonts w:hint="eastAsia" w:ascii="仿宋" w:hAnsi="仿宋" w:eastAsia="仿宋" w:cs="仿宋"/>
          <w:b/>
          <w:sz w:val="28"/>
          <w:szCs w:val="28"/>
        </w:rPr>
        <w:t>低价优先法</w:t>
      </w:r>
      <w:r>
        <w:rPr>
          <w:rFonts w:hint="eastAsia" w:ascii="仿宋" w:hAnsi="仿宋" w:eastAsia="仿宋" w:cs="仿宋"/>
          <w:sz w:val="28"/>
          <w:szCs w:val="28"/>
        </w:rPr>
        <w:t>计算，即满足磋商文件要求且最后报价最低的供应商的价格为磋商基准价，其价格分为满分。其他供应商的价格分统一按照下列公式计算：</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磋商报价得分=（磋商基准价/最后磋商报价）×价格权值×100</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项目评审过程中，不得去掉最后报价中的最高报价和最低报价。</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六、政府采购政策功能落实</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1.小微型企业价格扣除</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（1）本项目对小型和微型企业产品给予6%的扣除价格，用扣除后的价格参与评审。</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（2）供应商需按照采购文件的要求提供相应的《小型、微型企业声明函》。</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（3）企业标准请参照《关于印发中小企业划型标准规定的通知》（工信部联企业[2011]300号）文件规定自行填写。</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2.残疾人福利单位价格扣除</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（1）本项目对残疾人福利性单位视同小型、微型企业，给予6%的价格扣除，用扣除后的价格参与评审。</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（2）残疾人福利单位需按照采购文件的要求提供《残疾人福利性单位声明函》。</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（3）残疾人福利单位标准请参照《关于促进残疾人就业政府采购政策的通知》（财库〔2017〕141号）。</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3.监狱和戒毒企业价格扣除</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（1）本项目对监狱和戒毒企业（简称监狱企业）视同小型、微型企业，给予6%的价格扣除，用扣除后的价格参与评审。</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（2）监狱企业参加政府采购活动时，需提供由省级以上监狱管理局、戒毒管理局（含新疆生产建设兵团）出具的属于监狱企业的证明文件。供应商如不提供上述证明文件，价格将不做相应扣除。</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（3）监狱企业标准请参照《关于政府采购支持监狱企业发展有关问题的通知》（财库[2014]68号）。</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4.残疾人福利单位、监狱企业属于小型、微型企业的，不重复享受政策。</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6.联合体各方均为小型、微型企业（残疾人福利单位、监狱企业）的，联合体享受6%价格扣除，用扣除后的价格参与评审。</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7.根据《江苏省政府采购信用管理暂行办法》的规定，对有失信行为的供应商将根据信用评价结果按规定予以扣分或价格加成。</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七、变更为其他方式采购的情形</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提交响应文件截止时间时参加磋商的供应商不足3家的，及磋商中出现符合专业条件的供应商或对磋商文件作实质响应的供应商不足3家（规定可以2家的情形除外），除采购任务取消外，采购人报告市财政部门或上级主管部门，视情采取其他方式采购。磋商文件中对供应商资质、技术等要求，将作为其他方式采购的基本要求和依据。原已经参加磋商并符合要求的供应商，根据自愿原则，参加其他方式采购。</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八、出现下列情形之一的，竞争性磋商采购活动终止，发布项目终止公告并说明原因，重新开展采购活动：</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（一）因情况变化，不再符合规定的竞争性磋商采购方式适用情形的；</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（二）出现影响采购公正的违法、违规行为的；</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（三）在采购过程中符合要求的供应商或者报价未超过采购预算的供应商不足3家的（市场竞争不充分的科研项目，以及需要扶持的科技成果转化项目除外）。</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九、成交通知</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成交结果在中国政府采购网公告，公告期限为1个工作日。《成交通知书》一经发出，采购人改变成交结果，或者成交供应商放弃成交的，各自承担相应的法律责任。《成交通知书》是采购合同的组成部分。</w:t>
      </w:r>
      <w:r>
        <w:rPr>
          <w:rFonts w:hint="eastAsia" w:ascii="仿宋" w:hAnsi="仿宋" w:eastAsia="仿宋" w:cs="仿宋"/>
          <w:sz w:val="28"/>
          <w:szCs w:val="28"/>
        </w:rPr>
        <w:br w:type="page"/>
      </w:r>
    </w:p>
    <w:p>
      <w:pPr>
        <w:pStyle w:val="2"/>
        <w:spacing w:before="159" w:beforeLines="50" w:after="159" w:afterLines="50" w:line="360" w:lineRule="auto"/>
        <w:jc w:val="center"/>
        <w:rPr>
          <w:rFonts w:ascii="仿宋" w:hAnsi="仿宋" w:eastAsia="仿宋"/>
        </w:rPr>
      </w:pPr>
      <w:r>
        <w:rPr>
          <w:rFonts w:hint="eastAsia" w:ascii="仿宋" w:hAnsi="仿宋" w:eastAsia="仿宋"/>
        </w:rPr>
        <w:t>第五部分 合同签订与验收付款</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成交供应商和采购人在接到《成交通知书》后30日内按照采购文件确定的事项签订政府采购合同。所签合同不得对采购文件作实质性修改。采购人不得向成交供应商提出不合理的要求作为签订合同的条件，不得与成交供应商私下订立背离采购文件实质性内容的协议。</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采购人按合同约定积极配合成交供应商履约，成交供应商履约到位后，请以书面形式向采购单位提出验收申请，采购人接到申请后原则上在5个工作日内及时组织相关专业技术人员，必要时邀请行业专家、质检等部门共同参与验收，并出具验收报告，验收合格的原则上5个工作日内支付相应款项。</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四、成交供应商出现违约情形，应当及时纠正或补偿；造成损失的，按合同约定追究违约责任；发现有假冒、伪劣、走私产品、商业贿赂等违法情形的，应由采购人移交市场监督、公安等行政执法部门依法查处。</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五、不响应付款方式的，视同响应文件无效处理。</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color w:val="FF0000"/>
          <w:sz w:val="28"/>
          <w:szCs w:val="28"/>
        </w:rPr>
        <w:t>付款方式：项目签订合同并完成项目启动工作签发开工令后支付合同金额的50%，项目完成并验收合格后10个工作日内付清余款。</w:t>
      </w:r>
    </w:p>
    <w:p>
      <w:pPr>
        <w:widowControl/>
        <w:jc w:val="left"/>
        <w:rPr>
          <w:rFonts w:ascii="仿宋" w:hAnsi="仿宋" w:eastAsia="仿宋"/>
          <w:sz w:val="28"/>
          <w:szCs w:val="28"/>
        </w:rPr>
      </w:pPr>
      <w:r>
        <w:rPr>
          <w:rFonts w:ascii="仿宋" w:hAnsi="仿宋" w:eastAsia="仿宋"/>
          <w:sz w:val="28"/>
          <w:szCs w:val="28"/>
        </w:rPr>
        <w:br w:type="page"/>
      </w:r>
    </w:p>
    <w:p>
      <w:pPr>
        <w:pStyle w:val="2"/>
        <w:spacing w:before="159" w:beforeLines="50" w:after="159" w:afterLines="50" w:line="360" w:lineRule="auto"/>
        <w:jc w:val="center"/>
        <w:rPr>
          <w:rFonts w:ascii="仿宋" w:hAnsi="仿宋" w:eastAsia="仿宋"/>
        </w:rPr>
      </w:pPr>
      <w:r>
        <w:rPr>
          <w:rFonts w:hint="eastAsia" w:ascii="仿宋" w:hAnsi="仿宋" w:eastAsia="仿宋"/>
        </w:rPr>
        <w:t>第六部分 质疑提出和处理</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一、质疑的提出</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1.质疑人必须是直接参加本次磋商活动的当事人。</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2.领取磋商文件的供应商应根据第二部分“磋商须知”中第一点第1项的约定提出疑问；质疑提出的有效时限，见《中华人民共和国政府采购法实施条例》第五十三条。</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在磋商过程中，凡主持人或磋商小组明确提出须由供应商确认的事项，供应商当场无异议的，事后不得提出质疑。</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3.提出质疑时，必须坚持</w:t>
      </w:r>
      <w:r>
        <w:rPr>
          <w:rFonts w:hint="eastAsia" w:ascii="仿宋" w:hAnsi="仿宋" w:eastAsia="仿宋" w:cs="仿宋"/>
          <w:b/>
          <w:sz w:val="28"/>
          <w:szCs w:val="28"/>
        </w:rPr>
        <w:t>“谁主张，谁举证”、“实事求是”</w:t>
      </w:r>
      <w:r>
        <w:rPr>
          <w:rFonts w:hint="eastAsia" w:ascii="仿宋" w:hAnsi="仿宋" w:eastAsia="仿宋" w:cs="仿宋"/>
          <w:sz w:val="28"/>
          <w:szCs w:val="28"/>
        </w:rPr>
        <w:t>的原则，不能臆测。属于须由法定部门调查、侦查或先行作出相关认定的事项，质疑人应当依法申请具有法定职权的部门查清、认定，并将相关结果提供给代理机构。代理机构不具有法定调查、认定权限。</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对本次磋商有质疑的，实行实名制，不得进行虚假、恶意质疑。质疑人应在质疑有效期内以书面形式提出《质疑函》，《质疑函》内容应包括质疑事项、主要内容、事实依据、适应法规条款、佐证材料等。同时，质疑人应保证其提出的质疑内容及相关佐证材料的真实性及来源的合法性，并承担相应的法律责任。</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对不能提供相关佐证材料的、涉及商业秘密的、非书面形式的、非送达的、匿名的《质疑函》将不予受理。</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相关佐证材料要具备客观性、关联性、合法性，无法查实的（如宣传册、媒体报道、猜测、推理等）不能作为佐证材料。</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招标代理机构、采购单位不负责搜集相关佐证材料等工作。</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二、《质疑函》的受理和回复</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1.《质疑函》须由质疑人的法定代表人签字并加盖公章后，由法定代表人或参加本次磋商授权人送达采购单位和代理机构。</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对符合提出质疑要求的，采购单位和代理机构签收并出具《质疑受理通知书》。在处理过程中，发现需要质疑人进一步补充相关佐证材料的，请质疑人在规定的时间内提供，质疑回复时间相应顺延。质疑人不能按时提供相关佐证材料的，视同放弃质疑。</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3.对不符合提出质疑要求的，出具《质疑退回通知书》并提出相关补充材料要求，质疑人未在规定的时间内提供补充佐证材料的，视同放弃质疑。</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4.采购人负责将质疑人提出的质疑相关材料提供给相关专家或磋商小组审核，并将审核意见回复质疑人。</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5.因质疑情况复杂，组织论证或审查时间较长的，采购人以书面形式通知质疑人，可适当延长质疑回复处理时间。</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三、质疑处理</w:t>
      </w:r>
    </w:p>
    <w:p>
      <w:pPr>
        <w:widowControl/>
        <w:shd w:val="clear" w:color="auto" w:fill="FFFFFF"/>
        <w:spacing w:line="360" w:lineRule="auto"/>
        <w:ind w:firstLine="562" w:firstLineChars="200"/>
        <w:jc w:val="left"/>
        <w:rPr>
          <w:rFonts w:ascii="仿宋" w:hAnsi="仿宋" w:eastAsia="仿宋" w:cs="仿宋"/>
          <w:sz w:val="28"/>
          <w:szCs w:val="28"/>
        </w:rPr>
      </w:pPr>
      <w:r>
        <w:rPr>
          <w:rFonts w:hint="eastAsia" w:ascii="仿宋" w:hAnsi="仿宋" w:eastAsia="仿宋" w:cs="仿宋"/>
          <w:b/>
          <w:sz w:val="28"/>
          <w:szCs w:val="28"/>
        </w:rPr>
        <w:t>1.质疑成立的处理。</w:t>
      </w:r>
      <w:r>
        <w:rPr>
          <w:rFonts w:hint="eastAsia" w:ascii="仿宋" w:hAnsi="仿宋" w:eastAsia="仿宋" w:cs="仿宋"/>
          <w:sz w:val="28"/>
          <w:szCs w:val="28"/>
        </w:rPr>
        <w:t>采购人终止采购，并建议有关部门给相关当事人予以处理。</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2.质疑不成立的处理。</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（1）质疑人书面《申请撤回质疑函》的，不作违约处理。</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（2）质疑人在规定的时间内不配合进行质疑调查处理的，按自动撤回《质疑函》处理。</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（3）质疑人不按《质疑函》格式就提出质疑的，作违约处理。代理机构有权建议政府采购主管部门取消会员供应商资格三个月的违约处理；同时，视情列入不良供应商名单。</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质疑人虽提供了相关佐证材料，但不能证明其质疑成立的，采购人请质疑人补充相关佐证材料，仍不能证明其质疑成立的，作违约处理。代理机构有权建议政府采购主管部门取消会员供应商资格六个月的违约处理；同时，列入不良供应商名单。</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（5）质疑人不能提供相关佐证材料的，采购人已指出，质疑人仍然坚持提出质疑的，作违约处理。代理机构有权建议政府采购主管部门取消会员供应商资格一年的违约处理；同时，列入不良供应商名单。</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对明显有违事实的、经相关专家或磋商小组认定无依据的、经其他供应商举证无依据的质疑，作违约处理，采购人有权建议政府采购主管部门取消会员供应商资格一年的违约处理，列入不良供应商名单；同时，对其中每一项不成立的质疑给予质疑人1年内禁入由采购人组织的政府采购活动的违约处理，依次类推；视情在南通公共资源交易平台、省、国家级相关媒体予以披露。</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（7）质疑人承担使用虚假材料或恶意方式质疑的法律责任。</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（8）代理机构有权根据违约情节轻重，限制质疑人参加采购人组织的政府采购活动。情节严重的，代理机构将质疑人列入黑名单，有权给予质疑人1年内禁入由代理机构代理的政府采购活动的违约处理。</w:t>
      </w:r>
    </w:p>
    <w:p>
      <w:pPr>
        <w:widowControl/>
        <w:shd w:val="clear" w:color="auto" w:fill="FFFFFF"/>
        <w:spacing w:line="360" w:lineRule="auto"/>
        <w:ind w:firstLine="562" w:firstLineChars="200"/>
        <w:jc w:val="left"/>
        <w:rPr>
          <w:rFonts w:ascii="仿宋" w:hAnsi="仿宋" w:eastAsia="仿宋" w:cs="仿宋"/>
          <w:sz w:val="28"/>
          <w:szCs w:val="28"/>
        </w:rPr>
      </w:pPr>
      <w:r>
        <w:rPr>
          <w:rFonts w:hint="eastAsia" w:ascii="仿宋" w:hAnsi="仿宋" w:eastAsia="仿宋" w:cs="仿宋"/>
          <w:b/>
          <w:sz w:val="28"/>
          <w:szCs w:val="28"/>
        </w:rPr>
        <w:t>四、无佐证材料的举报作违约处理。</w:t>
      </w:r>
      <w:r>
        <w:rPr>
          <w:rFonts w:hint="eastAsia" w:ascii="仿宋" w:hAnsi="仿宋" w:eastAsia="仿宋" w:cs="仿宋"/>
          <w:sz w:val="28"/>
          <w:szCs w:val="28"/>
        </w:rPr>
        <w:t>供应商不得进行不提供相关佐证材料（含无法查实的如宣传册、媒体报道、猜测、推理等）向有关部门的举报，否则作违约处理。采购人有权建议政府采购主管部门取消其相应的会员供应商资格，同时对其在1至3年内禁入由采购人组织的政府采购活动的违约处理。</w:t>
      </w:r>
    </w:p>
    <w:p>
      <w:pPr>
        <w:widowControl/>
        <w:shd w:val="clear" w:color="auto" w:fill="FFFFFF"/>
        <w:spacing w:line="360" w:lineRule="auto"/>
        <w:ind w:firstLine="562" w:firstLineChars="200"/>
        <w:jc w:val="left"/>
        <w:rPr>
          <w:rFonts w:ascii="仿宋" w:hAnsi="仿宋" w:eastAsia="仿宋" w:cs="仿宋"/>
          <w:sz w:val="28"/>
          <w:szCs w:val="28"/>
        </w:rPr>
      </w:pPr>
      <w:r>
        <w:rPr>
          <w:rFonts w:hint="eastAsia" w:ascii="仿宋" w:hAnsi="仿宋" w:eastAsia="仿宋" w:cs="仿宋"/>
          <w:b/>
          <w:sz w:val="28"/>
          <w:szCs w:val="28"/>
        </w:rPr>
        <w:t>五、投诉不成立的作违约处理。</w:t>
      </w:r>
      <w:r>
        <w:rPr>
          <w:rFonts w:hint="eastAsia" w:ascii="仿宋" w:hAnsi="仿宋" w:eastAsia="仿宋" w:cs="仿宋"/>
          <w:sz w:val="28"/>
          <w:szCs w:val="28"/>
        </w:rPr>
        <w:t>供应商进行质疑后，采购人回复质疑不成立，供应商仍进行投诉的，并最终投诉不成立的，作违约处理。采购人有权建议政府采购主管部门取消其相应的会员供应商资格，同时对其在1至3年内禁入由采购人组织的政府采购活动的违约处理。</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六、《质疑函》、《质疑回复函》，质疑、举报、投诉不成立的等相关情况，视情在南通公共资源交易平台、省、国家级等相关媒体予以披露。并建议相关政府采购机构对该供应商同步实施1至3年内禁入。</w:t>
      </w:r>
    </w:p>
    <w:p>
      <w:pPr>
        <w:widowControl/>
        <w:jc w:val="left"/>
        <w:rPr>
          <w:rFonts w:ascii="仿宋" w:hAnsi="仿宋" w:eastAsia="仿宋"/>
          <w:sz w:val="28"/>
          <w:szCs w:val="28"/>
        </w:rPr>
      </w:pPr>
      <w:r>
        <w:rPr>
          <w:rFonts w:ascii="仿宋" w:hAnsi="仿宋" w:eastAsia="仿宋"/>
          <w:sz w:val="28"/>
          <w:szCs w:val="28"/>
        </w:rPr>
        <w:br w:type="page"/>
      </w:r>
    </w:p>
    <w:p>
      <w:pPr>
        <w:pStyle w:val="2"/>
        <w:spacing w:before="159" w:beforeLines="50" w:after="159" w:afterLines="50" w:line="360" w:lineRule="auto"/>
        <w:jc w:val="center"/>
        <w:rPr>
          <w:rFonts w:ascii="仿宋" w:hAnsi="仿宋" w:eastAsia="仿宋"/>
        </w:rPr>
      </w:pPr>
      <w:r>
        <w:rPr>
          <w:rFonts w:hint="eastAsia" w:ascii="仿宋" w:hAnsi="仿宋" w:eastAsia="仿宋"/>
        </w:rPr>
        <w:t>第七部分 响应文件组成</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响应文件由资格审查证明材料、价格响应文件、商务技术响应文件三部分组成。</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一、资格审查证明材料（一正两副，单独密封并牢固装订）：</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1.关于资格的声明函；（附件1）</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2.法定代表人身份证明书（提供复印件并加盖公章）；（附件2）</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3.法定代表人授权委托书原件，磋商代表本人身份证复印件（原件随身备查）；（附件3）</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4.请按竞争性磋商公告资格要求提供相应的佐证材料（提供复印件并加盖公章）；</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5.其它需要提交的资格审查证明材料。</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二、价格响应文件，一式二份（单独密封并牢固装订），不得出现在商务技术响应文件部分：</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1.报价总表（附件4）；</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2.报价明细表（格式自拟）。</w:t>
      </w:r>
    </w:p>
    <w:p>
      <w:pPr>
        <w:widowControl/>
        <w:shd w:val="clear" w:color="auto" w:fill="FFFFFF"/>
        <w:spacing w:line="360" w:lineRule="auto"/>
        <w:ind w:firstLine="562" w:firstLineChars="200"/>
        <w:jc w:val="left"/>
        <w:rPr>
          <w:rFonts w:ascii="仿宋" w:hAnsi="仿宋" w:eastAsia="仿宋" w:cs="仿宋"/>
          <w:b/>
          <w:sz w:val="28"/>
          <w:szCs w:val="28"/>
        </w:rPr>
      </w:pPr>
      <w:r>
        <w:rPr>
          <w:rFonts w:hint="eastAsia" w:ascii="仿宋" w:hAnsi="仿宋" w:eastAsia="仿宋" w:cs="仿宋"/>
          <w:b/>
          <w:sz w:val="28"/>
          <w:szCs w:val="28"/>
        </w:rPr>
        <w:t>三、商务技术响应文件（不能出现报价；一正两副，单独密封并牢固装订）：</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1.磋商供应商情况一览表（附件5）；</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2.商务部分正负偏离表（附件6）；</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3.技术部分正负偏离表（附件6）；</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填制正负偏离表，完全响应的，请以空白表列示。不完全响应的，必须在偏离表中列示；列示不全的，视同故意隐瞒。</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4.响应方案、货物（服务）清单。具有项目、数量、品牌、型号、配置性能等。</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5.为方便评委评审，请供应商按评审办法中所涉及的事项顺序进行编制，可以补充相关材料。</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6.评审办法中未涉及的事项，供应商认为需要提交的其他资料。</w:t>
      </w:r>
    </w:p>
    <w:p>
      <w:pPr>
        <w:widowControl/>
        <w:shd w:val="clear" w:color="auto" w:fill="FFFFFF"/>
        <w:spacing w:line="360" w:lineRule="auto"/>
        <w:ind w:firstLine="560" w:firstLineChars="200"/>
        <w:jc w:val="left"/>
        <w:rPr>
          <w:rFonts w:ascii="仿宋" w:hAnsi="仿宋" w:eastAsia="仿宋" w:cs="仿宋"/>
          <w:sz w:val="28"/>
          <w:szCs w:val="28"/>
        </w:rPr>
      </w:pPr>
    </w:p>
    <w:p>
      <w:pPr>
        <w:widowControl/>
        <w:jc w:val="left"/>
        <w:rPr>
          <w:rFonts w:ascii="仿宋" w:hAnsi="仿宋" w:eastAsia="仿宋"/>
          <w:sz w:val="28"/>
          <w:szCs w:val="28"/>
        </w:rPr>
      </w:pPr>
      <w:r>
        <w:rPr>
          <w:rFonts w:ascii="仿宋" w:hAnsi="仿宋" w:eastAsia="仿宋"/>
          <w:sz w:val="28"/>
          <w:szCs w:val="28"/>
        </w:rPr>
        <w:br w:type="page"/>
      </w:r>
    </w:p>
    <w:p>
      <w:pPr>
        <w:widowControl/>
        <w:shd w:val="clear" w:color="auto" w:fill="FFFFFF"/>
        <w:spacing w:line="360" w:lineRule="auto"/>
        <w:jc w:val="left"/>
        <w:rPr>
          <w:rFonts w:ascii="仿宋" w:hAnsi="仿宋" w:eastAsia="仿宋" w:cs="仿宋"/>
          <w:b/>
          <w:sz w:val="28"/>
          <w:szCs w:val="28"/>
        </w:rPr>
      </w:pPr>
      <w:bookmarkStart w:id="2" w:name="_Toc44750623"/>
      <w:r>
        <w:rPr>
          <w:rFonts w:hint="eastAsia" w:ascii="仿宋" w:hAnsi="仿宋" w:eastAsia="仿宋" w:cs="仿宋"/>
          <w:b/>
          <w:sz w:val="28"/>
          <w:szCs w:val="28"/>
        </w:rPr>
        <w:t>附件1：关于资格的声明函</w:t>
      </w:r>
      <w:bookmarkEnd w:id="2"/>
    </w:p>
    <w:p>
      <w:pPr>
        <w:widowControl/>
        <w:shd w:val="clear" w:color="auto" w:fill="FFFFFF"/>
        <w:spacing w:line="360" w:lineRule="auto"/>
        <w:jc w:val="left"/>
        <w:rPr>
          <w:rFonts w:ascii="仿宋" w:hAnsi="仿宋" w:eastAsia="仿宋" w:cs="仿宋"/>
          <w:sz w:val="28"/>
          <w:szCs w:val="28"/>
        </w:rPr>
      </w:pPr>
      <w:r>
        <w:rPr>
          <w:rFonts w:hint="eastAsia" w:ascii="仿宋" w:hAnsi="仿宋" w:eastAsia="仿宋" w:cs="仿宋"/>
          <w:sz w:val="28"/>
          <w:szCs w:val="28"/>
        </w:rPr>
        <w:t>南通市[采购人全称]、江苏华凌科技咨询有限公司：</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我公司认真对照招标公告/磋商公告，符合贵方提出的资格要求，自愿报名参加响应，并保证提供的资料文件是准确的和真实的。提供虚假材料的愿意承担相应的法律责任。</w:t>
      </w:r>
    </w:p>
    <w:p>
      <w:pPr>
        <w:widowControl/>
        <w:shd w:val="clear" w:color="auto" w:fill="FFFFFF"/>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附：公司响应之前3年内有无受各级管理部门的处分或处罚（含其授权服务的子公司、分公司等），如果不主动填报而被事后发现的，将取消其响应资格，并按有关规定从重处理；没有受处罚的响应人，要填写“没有受到任何处罚”，此表不能空白。</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3118"/>
        <w:gridCol w:w="340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jc w:val="left"/>
              <w:rPr>
                <w:rFonts w:ascii="仿宋" w:hAnsi="仿宋" w:eastAsia="仿宋" w:cs="仿宋"/>
                <w:sz w:val="28"/>
                <w:szCs w:val="28"/>
              </w:rPr>
            </w:pPr>
            <w:r>
              <w:rPr>
                <w:rFonts w:hint="eastAsia" w:ascii="仿宋" w:hAnsi="仿宋" w:eastAsia="仿宋" w:cs="仿宋"/>
                <w:sz w:val="28"/>
                <w:szCs w:val="28"/>
              </w:rPr>
              <w:t>时 间</w:t>
            </w:r>
          </w:p>
        </w:tc>
        <w:tc>
          <w:tcPr>
            <w:tcW w:w="31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jc w:val="left"/>
              <w:rPr>
                <w:rFonts w:ascii="仿宋" w:hAnsi="仿宋" w:eastAsia="仿宋" w:cs="仿宋"/>
                <w:sz w:val="28"/>
                <w:szCs w:val="28"/>
              </w:rPr>
            </w:pPr>
            <w:r>
              <w:rPr>
                <w:rFonts w:hint="eastAsia" w:ascii="仿宋" w:hAnsi="仿宋" w:eastAsia="仿宋" w:cs="仿宋"/>
                <w:sz w:val="28"/>
                <w:szCs w:val="28"/>
              </w:rPr>
              <w:t>受处理的原因</w:t>
            </w:r>
          </w:p>
          <w:p>
            <w:pPr>
              <w:widowControl/>
              <w:shd w:val="clear" w:color="auto" w:fill="FFFFFF"/>
              <w:spacing w:line="360" w:lineRule="auto"/>
              <w:jc w:val="left"/>
              <w:rPr>
                <w:rFonts w:ascii="仿宋" w:hAnsi="仿宋" w:eastAsia="仿宋" w:cs="仿宋"/>
                <w:sz w:val="28"/>
                <w:szCs w:val="28"/>
              </w:rPr>
            </w:pPr>
            <w:r>
              <w:rPr>
                <w:rFonts w:hint="eastAsia" w:ascii="仿宋" w:hAnsi="仿宋" w:eastAsia="仿宋" w:cs="仿宋"/>
                <w:sz w:val="28"/>
                <w:szCs w:val="28"/>
              </w:rPr>
              <w:t>（如在政府采购活动中受处理的，注明采购项目名称及处理原因）</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jc w:val="left"/>
              <w:rPr>
                <w:rFonts w:ascii="仿宋" w:hAnsi="仿宋" w:eastAsia="仿宋" w:cs="仿宋"/>
                <w:sz w:val="28"/>
                <w:szCs w:val="28"/>
              </w:rPr>
            </w:pPr>
            <w:r>
              <w:rPr>
                <w:rFonts w:hint="eastAsia" w:ascii="仿宋" w:hAnsi="仿宋" w:eastAsia="仿宋" w:cs="仿宋"/>
                <w:sz w:val="28"/>
                <w:szCs w:val="28"/>
              </w:rPr>
              <w:t>处理的内容</w:t>
            </w:r>
          </w:p>
          <w:p>
            <w:pPr>
              <w:widowControl/>
              <w:shd w:val="clear" w:color="auto" w:fill="FFFFFF"/>
              <w:spacing w:line="360" w:lineRule="auto"/>
              <w:jc w:val="left"/>
              <w:rPr>
                <w:rFonts w:ascii="仿宋" w:hAnsi="仿宋" w:eastAsia="仿宋" w:cs="仿宋"/>
                <w:sz w:val="28"/>
                <w:szCs w:val="28"/>
              </w:rPr>
            </w:pPr>
            <w:r>
              <w:rPr>
                <w:rFonts w:hint="eastAsia" w:ascii="仿宋" w:hAnsi="仿宋" w:eastAsia="仿宋" w:cs="仿宋"/>
                <w:sz w:val="28"/>
                <w:szCs w:val="28"/>
              </w:rPr>
              <w:t>（如受到禁止一段时期参加某种项目的政府采购活动的，要说明解禁时间）</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jc w:val="left"/>
              <w:rPr>
                <w:rFonts w:ascii="仿宋" w:hAnsi="仿宋" w:eastAsia="仿宋" w:cs="仿宋"/>
                <w:sz w:val="28"/>
                <w:szCs w:val="28"/>
              </w:rPr>
            </w:pPr>
            <w:r>
              <w:rPr>
                <w:rFonts w:hint="eastAsia" w:ascii="仿宋" w:hAnsi="仿宋" w:eastAsia="仿宋" w:cs="仿宋"/>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101" w:type="dxa"/>
            <w:tcBorders>
              <w:top w:val="single" w:color="auto" w:sz="4" w:space="0"/>
              <w:left w:val="single" w:color="auto" w:sz="4" w:space="0"/>
              <w:bottom w:val="single" w:color="auto" w:sz="4" w:space="0"/>
              <w:right w:val="single" w:color="auto" w:sz="4" w:space="0"/>
            </w:tcBorders>
          </w:tcPr>
          <w:p>
            <w:pPr>
              <w:widowControl/>
              <w:shd w:val="clear" w:color="auto" w:fill="FFFFFF"/>
              <w:spacing w:line="360" w:lineRule="auto"/>
              <w:jc w:val="left"/>
              <w:rPr>
                <w:rFonts w:ascii="仿宋" w:hAnsi="仿宋" w:eastAsia="仿宋" w:cs="仿宋"/>
                <w:sz w:val="28"/>
                <w:szCs w:val="28"/>
              </w:rPr>
            </w:pPr>
          </w:p>
        </w:tc>
        <w:tc>
          <w:tcPr>
            <w:tcW w:w="3118" w:type="dxa"/>
            <w:tcBorders>
              <w:top w:val="single" w:color="auto" w:sz="4" w:space="0"/>
              <w:left w:val="single" w:color="auto" w:sz="4" w:space="0"/>
              <w:bottom w:val="single" w:color="auto" w:sz="4" w:space="0"/>
              <w:right w:val="single" w:color="auto" w:sz="4" w:space="0"/>
            </w:tcBorders>
          </w:tcPr>
          <w:p>
            <w:pPr>
              <w:widowControl/>
              <w:shd w:val="clear" w:color="auto" w:fill="FFFFFF"/>
              <w:spacing w:line="360" w:lineRule="auto"/>
              <w:jc w:val="left"/>
              <w:rPr>
                <w:rFonts w:ascii="仿宋" w:hAnsi="仿宋" w:eastAsia="仿宋" w:cs="仿宋"/>
                <w:sz w:val="28"/>
                <w:szCs w:val="28"/>
              </w:rPr>
            </w:pPr>
            <w:r>
              <w:rPr>
                <w:rFonts w:hint="eastAsia" w:ascii="仿宋" w:hAnsi="仿宋" w:eastAsia="仿宋" w:cs="仿宋"/>
                <w:sz w:val="28"/>
                <w:szCs w:val="28"/>
              </w:rPr>
              <w:t>没有受到任何处罚</w:t>
            </w:r>
          </w:p>
        </w:tc>
        <w:tc>
          <w:tcPr>
            <w:tcW w:w="3402" w:type="dxa"/>
            <w:tcBorders>
              <w:top w:val="single" w:color="auto" w:sz="4" w:space="0"/>
              <w:left w:val="single" w:color="auto" w:sz="4" w:space="0"/>
              <w:bottom w:val="single" w:color="auto" w:sz="4" w:space="0"/>
              <w:right w:val="single" w:color="auto" w:sz="4" w:space="0"/>
            </w:tcBorders>
          </w:tcPr>
          <w:p>
            <w:pPr>
              <w:widowControl/>
              <w:shd w:val="clear" w:color="auto" w:fill="FFFFFF"/>
              <w:spacing w:line="360" w:lineRule="auto"/>
              <w:jc w:val="left"/>
              <w:rPr>
                <w:rFonts w:ascii="仿宋" w:hAnsi="仿宋" w:eastAsia="仿宋" w:cs="仿宋"/>
                <w:sz w:val="28"/>
                <w:szCs w:val="28"/>
              </w:rPr>
            </w:pPr>
          </w:p>
        </w:tc>
        <w:tc>
          <w:tcPr>
            <w:tcW w:w="1276" w:type="dxa"/>
            <w:tcBorders>
              <w:top w:val="single" w:color="auto" w:sz="4" w:space="0"/>
              <w:left w:val="single" w:color="auto" w:sz="4" w:space="0"/>
              <w:bottom w:val="single" w:color="auto" w:sz="4" w:space="0"/>
              <w:right w:val="single" w:color="auto" w:sz="4" w:space="0"/>
            </w:tcBorders>
          </w:tcPr>
          <w:p>
            <w:pPr>
              <w:widowControl/>
              <w:shd w:val="clear" w:color="auto" w:fill="FFFFFF"/>
              <w:spacing w:line="360" w:lineRule="auto"/>
              <w:jc w:val="left"/>
              <w:rPr>
                <w:rFonts w:ascii="仿宋" w:hAnsi="仿宋" w:eastAsia="仿宋" w:cs="仿宋"/>
                <w:sz w:val="28"/>
                <w:szCs w:val="28"/>
              </w:rPr>
            </w:pPr>
          </w:p>
        </w:tc>
      </w:tr>
    </w:tbl>
    <w:p>
      <w:pPr>
        <w:widowControl/>
        <w:shd w:val="clear" w:color="auto" w:fill="FFFFFF"/>
        <w:spacing w:line="360" w:lineRule="auto"/>
        <w:ind w:firstLine="560" w:firstLineChars="200"/>
        <w:jc w:val="left"/>
        <w:rPr>
          <w:rFonts w:ascii="仿宋" w:hAnsi="仿宋" w:eastAsia="仿宋" w:cs="仿宋"/>
          <w:sz w:val="28"/>
          <w:szCs w:val="28"/>
        </w:rPr>
      </w:pPr>
    </w:p>
    <w:p>
      <w:pPr>
        <w:widowControl/>
        <w:shd w:val="clear" w:color="auto" w:fill="FFFFFF"/>
        <w:spacing w:line="360" w:lineRule="auto"/>
        <w:jc w:val="left"/>
        <w:rPr>
          <w:rFonts w:ascii="仿宋" w:hAnsi="仿宋" w:eastAsia="仿宋" w:cs="仿宋"/>
          <w:sz w:val="28"/>
          <w:szCs w:val="28"/>
        </w:rPr>
      </w:pPr>
      <w:r>
        <w:rPr>
          <w:rFonts w:hint="eastAsia" w:ascii="仿宋" w:hAnsi="仿宋" w:eastAsia="仿宋" w:cs="仿宋"/>
          <w:sz w:val="28"/>
          <w:szCs w:val="28"/>
        </w:rPr>
        <w:t>供应商全称（公章）：</w:t>
      </w:r>
    </w:p>
    <w:p>
      <w:pPr>
        <w:widowControl/>
        <w:shd w:val="clear" w:color="auto" w:fill="FFFFFF"/>
        <w:spacing w:line="360" w:lineRule="auto"/>
        <w:jc w:val="left"/>
        <w:rPr>
          <w:rFonts w:ascii="仿宋" w:hAnsi="仿宋" w:eastAsia="仿宋" w:cs="仿宋"/>
          <w:sz w:val="28"/>
          <w:szCs w:val="28"/>
        </w:rPr>
      </w:pPr>
      <w:r>
        <w:rPr>
          <w:rFonts w:hint="eastAsia" w:ascii="仿宋" w:hAnsi="仿宋" w:eastAsia="仿宋" w:cs="仿宋"/>
          <w:sz w:val="28"/>
          <w:szCs w:val="28"/>
        </w:rPr>
        <w:t>法定代表人或授权委托人（签字）：</w:t>
      </w:r>
    </w:p>
    <w:p>
      <w:pPr>
        <w:widowControl/>
        <w:shd w:val="clear" w:color="auto" w:fill="FFFFFF"/>
        <w:spacing w:line="360" w:lineRule="auto"/>
        <w:jc w:val="left"/>
        <w:rPr>
          <w:rFonts w:ascii="仿宋" w:hAnsi="仿宋" w:eastAsia="仿宋" w:cs="仿宋"/>
          <w:sz w:val="28"/>
          <w:szCs w:val="28"/>
        </w:rPr>
      </w:pPr>
      <w:r>
        <w:rPr>
          <w:rFonts w:ascii="仿宋" w:hAnsi="仿宋" w:eastAsia="仿宋" w:cs="仿宋"/>
          <w:sz w:val="28"/>
          <w:szCs w:val="28"/>
        </w:rPr>
        <w:t>响应日期</w:t>
      </w:r>
      <w:r>
        <w:rPr>
          <w:rFonts w:hint="eastAsia" w:ascii="仿宋" w:hAnsi="仿宋" w:eastAsia="仿宋" w:cs="仿宋"/>
          <w:sz w:val="28"/>
          <w:szCs w:val="28"/>
        </w:rPr>
        <w:t>：     年     月    日</w:t>
      </w:r>
    </w:p>
    <w:p>
      <w:pPr>
        <w:widowControl/>
        <w:jc w:val="left"/>
        <w:rPr>
          <w:rFonts w:asciiTheme="minorEastAsia" w:hAnsiTheme="minorEastAsia"/>
          <w:sz w:val="24"/>
          <w:szCs w:val="28"/>
        </w:rPr>
      </w:pPr>
      <w:r>
        <w:rPr>
          <w:rFonts w:asciiTheme="minorEastAsia" w:hAnsiTheme="minorEastAsia"/>
          <w:sz w:val="24"/>
          <w:szCs w:val="28"/>
        </w:rPr>
        <w:br w:type="page"/>
      </w:r>
    </w:p>
    <w:p>
      <w:pPr>
        <w:widowControl/>
        <w:shd w:val="clear" w:color="auto" w:fill="FFFFFF"/>
        <w:spacing w:line="360" w:lineRule="auto"/>
        <w:jc w:val="left"/>
        <w:rPr>
          <w:rFonts w:ascii="仿宋" w:hAnsi="仿宋" w:eastAsia="仿宋" w:cs="仿宋"/>
          <w:b/>
          <w:sz w:val="28"/>
          <w:szCs w:val="28"/>
        </w:rPr>
      </w:pPr>
      <w:bookmarkStart w:id="3" w:name="_Toc44750624"/>
      <w:r>
        <w:rPr>
          <w:rFonts w:hint="eastAsia" w:ascii="仿宋" w:hAnsi="仿宋" w:eastAsia="仿宋" w:cs="仿宋"/>
          <w:b/>
          <w:sz w:val="28"/>
          <w:szCs w:val="28"/>
        </w:rPr>
        <w:t>附件2：法定代表人身份证明书</w:t>
      </w:r>
      <w:bookmarkEnd w:id="3"/>
    </w:p>
    <w:p>
      <w:pPr>
        <w:widowControl/>
        <w:shd w:val="clear" w:color="auto" w:fill="FFFFFF"/>
        <w:spacing w:line="360" w:lineRule="auto"/>
        <w:jc w:val="left"/>
        <w:rPr>
          <w:rFonts w:ascii="仿宋" w:hAnsi="仿宋" w:eastAsia="仿宋" w:cs="仿宋"/>
          <w:sz w:val="28"/>
          <w:szCs w:val="28"/>
        </w:rPr>
      </w:pP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先生／女士：现任我单位</w:t>
      </w:r>
      <w:r>
        <w:rPr>
          <w:rFonts w:hint="eastAsia" w:ascii="仿宋" w:hAnsi="仿宋" w:eastAsia="仿宋"/>
          <w:sz w:val="28"/>
          <w:szCs w:val="28"/>
          <w:u w:val="single"/>
        </w:rPr>
        <w:t xml:space="preserve">      </w:t>
      </w:r>
      <w:r>
        <w:rPr>
          <w:rFonts w:hint="eastAsia" w:ascii="仿宋" w:hAnsi="仿宋" w:eastAsia="仿宋"/>
          <w:sz w:val="28"/>
          <w:szCs w:val="28"/>
        </w:rPr>
        <w:t>职务，为法定代表人，特此证明。</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身份证号码：</w:t>
      </w:r>
      <w:r>
        <w:rPr>
          <w:rFonts w:hint="eastAsia" w:ascii="仿宋" w:hAnsi="仿宋" w:eastAsia="仿宋"/>
          <w:sz w:val="28"/>
          <w:szCs w:val="28"/>
          <w:u w:val="single"/>
        </w:rPr>
        <w:t xml:space="preserve">                              </w:t>
      </w:r>
    </w:p>
    <w:p>
      <w:pPr>
        <w:spacing w:line="360" w:lineRule="auto"/>
        <w:ind w:firstLine="560" w:firstLineChars="200"/>
        <w:rPr>
          <w:rFonts w:ascii="仿宋" w:hAnsi="仿宋" w:eastAsia="仿宋"/>
          <w:sz w:val="28"/>
          <w:szCs w:val="28"/>
        </w:rPr>
      </w:pPr>
    </w:p>
    <w:p>
      <w:pPr>
        <w:spacing w:line="360" w:lineRule="auto"/>
        <w:rPr>
          <w:rFonts w:ascii="仿宋" w:hAnsi="仿宋" w:eastAsia="仿宋"/>
          <w:sz w:val="28"/>
          <w:szCs w:val="28"/>
        </w:rPr>
      </w:pPr>
      <w:r>
        <w:rPr>
          <w:rFonts w:hint="eastAsia" w:ascii="仿宋" w:hAnsi="仿宋" w:eastAsia="仿宋"/>
          <w:sz w:val="28"/>
          <w:szCs w:val="28"/>
        </w:rPr>
        <w:t>供应商全称（公章）：</w:t>
      </w:r>
    </w:p>
    <w:p>
      <w:pPr>
        <w:spacing w:line="360" w:lineRule="auto"/>
        <w:rPr>
          <w:rFonts w:ascii="仿宋" w:hAnsi="仿宋" w:eastAsia="仿宋"/>
          <w:sz w:val="28"/>
          <w:szCs w:val="28"/>
        </w:rPr>
      </w:pPr>
      <w:r>
        <w:rPr>
          <w:rFonts w:hint="eastAsia" w:ascii="仿宋" w:hAnsi="仿宋" w:eastAsia="仿宋"/>
          <w:sz w:val="28"/>
          <w:szCs w:val="28"/>
        </w:rPr>
        <w:t>法定代表人（签字）：</w:t>
      </w:r>
    </w:p>
    <w:p>
      <w:pPr>
        <w:spacing w:line="360" w:lineRule="auto"/>
        <w:rPr>
          <w:rFonts w:ascii="仿宋" w:hAnsi="仿宋" w:eastAsia="仿宋"/>
          <w:sz w:val="28"/>
          <w:szCs w:val="28"/>
        </w:rPr>
      </w:pPr>
      <w:r>
        <w:rPr>
          <w:rFonts w:ascii="仿宋" w:hAnsi="仿宋" w:eastAsia="仿宋"/>
          <w:sz w:val="28"/>
          <w:szCs w:val="28"/>
        </w:rPr>
        <w:t>响应日期</w:t>
      </w:r>
      <w:r>
        <w:rPr>
          <w:rFonts w:hint="eastAsia" w:ascii="仿宋" w:hAnsi="仿宋" w:eastAsia="仿宋"/>
          <w:sz w:val="28"/>
          <w:szCs w:val="28"/>
        </w:rPr>
        <w:t>：     年     月    日</w:t>
      </w:r>
    </w:p>
    <w:p>
      <w:pPr>
        <w:spacing w:line="360" w:lineRule="auto"/>
        <w:ind w:firstLine="560" w:firstLineChars="200"/>
        <w:rPr>
          <w:rFonts w:ascii="仿宋" w:hAnsi="仿宋" w:eastAsia="仿宋"/>
          <w:sz w:val="28"/>
          <w:szCs w:val="28"/>
        </w:rPr>
      </w:pPr>
    </w:p>
    <w:p>
      <w:pPr>
        <w:spacing w:line="360" w:lineRule="auto"/>
        <w:rPr>
          <w:rFonts w:ascii="仿宋" w:hAnsi="仿宋" w:eastAsia="仿宋"/>
          <w:sz w:val="28"/>
          <w:szCs w:val="28"/>
        </w:rPr>
      </w:pPr>
      <w:r>
        <w:rPr>
          <w:rFonts w:hint="eastAsia" w:ascii="仿宋" w:hAnsi="仿宋" w:eastAsia="仿宋"/>
          <w:sz w:val="28"/>
          <w:szCs w:val="28"/>
        </w:rPr>
        <w:t>注：提供法定代表人的身份证复印件盖公章</w:t>
      </w:r>
    </w:p>
    <w:p>
      <w:pPr>
        <w:spacing w:line="360" w:lineRule="auto"/>
        <w:ind w:firstLine="560" w:firstLineChars="200"/>
        <w:rPr>
          <w:rFonts w:ascii="仿宋" w:hAnsi="仿宋" w:eastAsia="仿宋"/>
          <w:sz w:val="28"/>
          <w:szCs w:val="28"/>
        </w:rPr>
      </w:pPr>
    </w:p>
    <w:p>
      <w:pPr>
        <w:widowControl/>
        <w:jc w:val="left"/>
        <w:rPr>
          <w:rFonts w:ascii="宋体" w:hAnsi="宋体" w:eastAsia="宋体"/>
          <w:sz w:val="28"/>
          <w:szCs w:val="28"/>
        </w:rPr>
      </w:pPr>
      <w:r>
        <w:rPr>
          <w:rFonts w:ascii="宋体" w:hAnsi="宋体" w:eastAsia="宋体"/>
          <w:sz w:val="28"/>
          <w:szCs w:val="28"/>
        </w:rPr>
        <w:br w:type="page"/>
      </w:r>
    </w:p>
    <w:p>
      <w:pPr>
        <w:widowControl/>
        <w:shd w:val="clear" w:color="auto" w:fill="FFFFFF"/>
        <w:spacing w:line="360" w:lineRule="auto"/>
        <w:jc w:val="left"/>
        <w:rPr>
          <w:rFonts w:ascii="仿宋" w:hAnsi="仿宋" w:eastAsia="仿宋" w:cs="仿宋"/>
          <w:b/>
          <w:sz w:val="28"/>
          <w:szCs w:val="28"/>
        </w:rPr>
      </w:pPr>
      <w:bookmarkStart w:id="4" w:name="_Toc44750625"/>
      <w:r>
        <w:rPr>
          <w:rFonts w:hint="eastAsia" w:ascii="仿宋" w:hAnsi="仿宋" w:eastAsia="仿宋" w:cs="仿宋"/>
          <w:b/>
          <w:sz w:val="28"/>
          <w:szCs w:val="28"/>
        </w:rPr>
        <w:t>附件3：法定代表人授权委托书</w:t>
      </w:r>
      <w:bookmarkEnd w:id="4"/>
    </w:p>
    <w:p>
      <w:pPr>
        <w:widowControl/>
        <w:shd w:val="clear" w:color="auto" w:fill="FFFFFF"/>
        <w:spacing w:line="360" w:lineRule="auto"/>
        <w:jc w:val="left"/>
        <w:rPr>
          <w:rFonts w:ascii="仿宋" w:hAnsi="仿宋" w:eastAsia="仿宋" w:cs="仿宋"/>
          <w:sz w:val="28"/>
          <w:szCs w:val="28"/>
        </w:rPr>
      </w:pPr>
      <w:r>
        <w:rPr>
          <w:rFonts w:hint="eastAsia" w:ascii="仿宋" w:hAnsi="仿宋" w:eastAsia="仿宋" w:cs="仿宋"/>
          <w:sz w:val="28"/>
          <w:szCs w:val="28"/>
        </w:rPr>
        <w:t>南通市[采购人全称]、江苏华凌科技咨询有限公司：</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本授权委托书声明：我</w:t>
      </w:r>
      <w:r>
        <w:rPr>
          <w:rFonts w:hint="eastAsia" w:ascii="仿宋" w:hAnsi="仿宋" w:eastAsia="仿宋"/>
          <w:sz w:val="28"/>
          <w:szCs w:val="28"/>
          <w:u w:val="single"/>
        </w:rPr>
        <w:t xml:space="preserve">        </w:t>
      </w:r>
      <w:r>
        <w:rPr>
          <w:rFonts w:hint="eastAsia" w:ascii="仿宋" w:hAnsi="仿宋" w:eastAsia="仿宋"/>
          <w:sz w:val="28"/>
          <w:szCs w:val="28"/>
        </w:rPr>
        <w:t>系</w:t>
      </w:r>
      <w:r>
        <w:rPr>
          <w:rFonts w:hint="eastAsia" w:ascii="仿宋" w:hAnsi="仿宋" w:eastAsia="仿宋"/>
          <w:sz w:val="28"/>
          <w:szCs w:val="28"/>
          <w:u w:val="single"/>
        </w:rPr>
        <w:t xml:space="preserve">               </w:t>
      </w:r>
      <w:r>
        <w:rPr>
          <w:rFonts w:hint="eastAsia" w:ascii="仿宋" w:hAnsi="仿宋" w:eastAsia="仿宋"/>
          <w:sz w:val="28"/>
          <w:szCs w:val="28"/>
        </w:rPr>
        <w:t>的法定代表人，现授权委托</w:t>
      </w:r>
      <w:r>
        <w:rPr>
          <w:rFonts w:hint="eastAsia" w:ascii="仿宋" w:hAnsi="仿宋" w:eastAsia="仿宋"/>
          <w:sz w:val="28"/>
          <w:szCs w:val="28"/>
          <w:u w:val="single"/>
        </w:rPr>
        <w:t xml:space="preserve">          </w:t>
      </w:r>
      <w:r>
        <w:rPr>
          <w:rFonts w:hint="eastAsia" w:ascii="仿宋" w:hAnsi="仿宋" w:eastAsia="仿宋"/>
          <w:sz w:val="28"/>
          <w:szCs w:val="28"/>
        </w:rPr>
        <w:t>为我公司代理人，以本公司的名义参加本项目的响应活动。代理人在开标、评审、合同谈判过程中所签署的一切文件和处理与之有关的一切事务，我均予以承认。</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被委托授权人无转委权。特此委托。</w:t>
      </w:r>
    </w:p>
    <w:p>
      <w:pPr>
        <w:spacing w:line="360" w:lineRule="auto"/>
        <w:rPr>
          <w:rFonts w:ascii="仿宋" w:hAnsi="仿宋" w:eastAsia="仿宋"/>
          <w:sz w:val="28"/>
          <w:szCs w:val="28"/>
        </w:rPr>
      </w:pPr>
      <w:r>
        <w:rPr>
          <w:rFonts w:hint="eastAsia" w:ascii="仿宋" w:hAnsi="仿宋" w:eastAsia="仿宋"/>
          <w:sz w:val="28"/>
          <w:szCs w:val="28"/>
        </w:rPr>
        <w:t>被委托授权人身份证号：</w:t>
      </w:r>
    </w:p>
    <w:p>
      <w:pPr>
        <w:spacing w:line="360" w:lineRule="auto"/>
        <w:rPr>
          <w:rFonts w:ascii="仿宋" w:hAnsi="仿宋" w:eastAsia="仿宋"/>
          <w:sz w:val="28"/>
          <w:szCs w:val="28"/>
        </w:rPr>
      </w:pPr>
      <w:r>
        <w:rPr>
          <w:rFonts w:hint="eastAsia" w:ascii="仿宋" w:hAnsi="仿宋" w:eastAsia="仿宋"/>
          <w:sz w:val="28"/>
          <w:szCs w:val="28"/>
        </w:rPr>
        <w:t>被委托授权人签字：</w:t>
      </w:r>
    </w:p>
    <w:p>
      <w:pPr>
        <w:spacing w:line="360" w:lineRule="auto"/>
        <w:rPr>
          <w:rFonts w:ascii="仿宋" w:hAnsi="仿宋" w:eastAsia="仿宋"/>
          <w:sz w:val="28"/>
          <w:szCs w:val="28"/>
        </w:rPr>
      </w:pPr>
    </w:p>
    <w:p>
      <w:pPr>
        <w:spacing w:line="360" w:lineRule="auto"/>
        <w:rPr>
          <w:rFonts w:ascii="仿宋" w:hAnsi="仿宋" w:eastAsia="仿宋"/>
          <w:sz w:val="28"/>
          <w:szCs w:val="28"/>
        </w:rPr>
      </w:pPr>
      <w:r>
        <w:rPr>
          <w:rFonts w:hint="eastAsia" w:ascii="仿宋" w:hAnsi="仿宋" w:eastAsia="仿宋"/>
          <w:sz w:val="28"/>
          <w:szCs w:val="28"/>
        </w:rPr>
        <w:t>供应商全称（公章）：</w:t>
      </w:r>
    </w:p>
    <w:p>
      <w:pPr>
        <w:spacing w:line="360" w:lineRule="auto"/>
        <w:rPr>
          <w:rFonts w:ascii="仿宋" w:hAnsi="仿宋" w:eastAsia="仿宋"/>
          <w:sz w:val="28"/>
          <w:szCs w:val="28"/>
        </w:rPr>
      </w:pPr>
      <w:r>
        <w:rPr>
          <w:rFonts w:hint="eastAsia" w:ascii="仿宋" w:hAnsi="仿宋" w:eastAsia="仿宋"/>
          <w:sz w:val="28"/>
          <w:szCs w:val="28"/>
        </w:rPr>
        <w:t>法定代表人（签字）：</w:t>
      </w:r>
    </w:p>
    <w:p>
      <w:pPr>
        <w:spacing w:line="360" w:lineRule="auto"/>
        <w:rPr>
          <w:rFonts w:ascii="仿宋" w:hAnsi="仿宋" w:eastAsia="仿宋"/>
          <w:sz w:val="28"/>
          <w:szCs w:val="28"/>
        </w:rPr>
      </w:pPr>
      <w:r>
        <w:rPr>
          <w:rFonts w:ascii="仿宋" w:hAnsi="仿宋" w:eastAsia="仿宋"/>
          <w:sz w:val="28"/>
          <w:szCs w:val="28"/>
        </w:rPr>
        <w:t>响应日期</w:t>
      </w:r>
      <w:r>
        <w:rPr>
          <w:rFonts w:hint="eastAsia" w:ascii="仿宋" w:hAnsi="仿宋" w:eastAsia="仿宋"/>
          <w:sz w:val="28"/>
          <w:szCs w:val="28"/>
        </w:rPr>
        <w:t>：     年     月    日</w:t>
      </w:r>
    </w:p>
    <w:p>
      <w:pPr>
        <w:spacing w:line="360" w:lineRule="auto"/>
        <w:rPr>
          <w:rFonts w:ascii="仿宋" w:hAnsi="仿宋" w:eastAsia="仿宋"/>
          <w:sz w:val="28"/>
          <w:szCs w:val="28"/>
        </w:rPr>
      </w:pPr>
    </w:p>
    <w:p>
      <w:pPr>
        <w:spacing w:line="360" w:lineRule="auto"/>
        <w:rPr>
          <w:rFonts w:ascii="仿宋" w:hAnsi="仿宋" w:eastAsia="仿宋"/>
          <w:sz w:val="28"/>
          <w:szCs w:val="28"/>
        </w:rPr>
      </w:pPr>
      <w:r>
        <w:rPr>
          <w:rFonts w:hint="eastAsia" w:ascii="仿宋" w:hAnsi="仿宋" w:eastAsia="仿宋"/>
          <w:sz w:val="28"/>
          <w:szCs w:val="28"/>
        </w:rPr>
        <w:t>注：提供被委托授权人的身份证复印件盖公章</w:t>
      </w:r>
    </w:p>
    <w:p>
      <w:pPr>
        <w:widowControl/>
        <w:jc w:val="left"/>
        <w:rPr>
          <w:rFonts w:ascii="仿宋" w:hAnsi="仿宋" w:eastAsia="仿宋"/>
          <w:sz w:val="28"/>
          <w:szCs w:val="28"/>
        </w:rPr>
      </w:pPr>
      <w:r>
        <w:rPr>
          <w:rFonts w:ascii="仿宋" w:hAnsi="仿宋" w:eastAsia="仿宋"/>
          <w:sz w:val="28"/>
          <w:szCs w:val="28"/>
        </w:rPr>
        <w:br w:type="page"/>
      </w:r>
    </w:p>
    <w:p>
      <w:pPr>
        <w:widowControl/>
        <w:shd w:val="clear" w:color="auto" w:fill="FFFFFF"/>
        <w:spacing w:line="360" w:lineRule="auto"/>
        <w:jc w:val="left"/>
        <w:rPr>
          <w:rFonts w:ascii="仿宋" w:hAnsi="仿宋" w:eastAsia="仿宋" w:cs="仿宋"/>
          <w:b/>
          <w:sz w:val="28"/>
          <w:szCs w:val="28"/>
        </w:rPr>
      </w:pPr>
      <w:r>
        <w:rPr>
          <w:rFonts w:ascii="仿宋" w:hAnsi="仿宋" w:eastAsia="仿宋" w:cs="仿宋"/>
          <w:b/>
          <w:sz w:val="28"/>
          <w:szCs w:val="28"/>
        </w:rPr>
        <w:t>附件</w:t>
      </w:r>
      <w:r>
        <w:rPr>
          <w:rFonts w:hint="eastAsia" w:ascii="仿宋" w:hAnsi="仿宋" w:eastAsia="仿宋" w:cs="仿宋"/>
          <w:b/>
          <w:sz w:val="28"/>
          <w:szCs w:val="28"/>
        </w:rPr>
        <w:t>4：报价总表</w:t>
      </w:r>
    </w:p>
    <w:p>
      <w:pPr>
        <w:spacing w:line="360" w:lineRule="auto"/>
        <w:jc w:val="center"/>
        <w:rPr>
          <w:rFonts w:ascii="仿宋" w:hAnsi="仿宋" w:eastAsia="仿宋"/>
          <w:b/>
          <w:sz w:val="36"/>
          <w:szCs w:val="28"/>
        </w:rPr>
      </w:pPr>
      <w:r>
        <w:rPr>
          <w:rFonts w:hint="eastAsia" w:ascii="仿宋" w:hAnsi="仿宋" w:eastAsia="仿宋"/>
          <w:b/>
          <w:sz w:val="36"/>
          <w:szCs w:val="28"/>
        </w:rPr>
        <w:t>报价总表</w:t>
      </w:r>
    </w:p>
    <w:p>
      <w:pPr>
        <w:spacing w:line="360" w:lineRule="auto"/>
        <w:rPr>
          <w:rFonts w:ascii="仿宋" w:hAnsi="仿宋" w:eastAsia="仿宋"/>
          <w:sz w:val="28"/>
          <w:szCs w:val="28"/>
        </w:rPr>
      </w:pPr>
      <w:r>
        <w:rPr>
          <w:rFonts w:hint="eastAsia" w:ascii="仿宋" w:hAnsi="仿宋" w:eastAsia="仿宋"/>
          <w:sz w:val="28"/>
          <w:szCs w:val="28"/>
        </w:rPr>
        <w:t>供应商（盖章）：</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1754"/>
        <w:gridCol w:w="1813"/>
        <w:gridCol w:w="1813"/>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54" w:type="dxa"/>
          </w:tcPr>
          <w:p>
            <w:pPr>
              <w:spacing w:line="360" w:lineRule="auto"/>
              <w:jc w:val="center"/>
              <w:rPr>
                <w:rFonts w:ascii="仿宋" w:hAnsi="仿宋" w:eastAsia="仿宋"/>
                <w:sz w:val="28"/>
                <w:szCs w:val="28"/>
              </w:rPr>
            </w:pPr>
            <w:r>
              <w:rPr>
                <w:rFonts w:hint="eastAsia" w:ascii="仿宋" w:hAnsi="仿宋" w:eastAsia="仿宋"/>
                <w:sz w:val="28"/>
                <w:szCs w:val="28"/>
              </w:rPr>
              <w:t>名称</w:t>
            </w:r>
          </w:p>
        </w:tc>
        <w:tc>
          <w:tcPr>
            <w:tcW w:w="1754" w:type="dxa"/>
          </w:tcPr>
          <w:p>
            <w:pPr>
              <w:spacing w:line="360" w:lineRule="auto"/>
              <w:jc w:val="center"/>
              <w:rPr>
                <w:rFonts w:ascii="仿宋" w:hAnsi="仿宋" w:eastAsia="仿宋"/>
                <w:sz w:val="28"/>
                <w:szCs w:val="28"/>
              </w:rPr>
            </w:pPr>
            <w:r>
              <w:rPr>
                <w:rFonts w:hint="eastAsia" w:ascii="仿宋" w:hAnsi="仿宋" w:eastAsia="仿宋"/>
                <w:sz w:val="28"/>
                <w:szCs w:val="28"/>
              </w:rPr>
              <w:t>规格型号</w:t>
            </w:r>
          </w:p>
        </w:tc>
        <w:tc>
          <w:tcPr>
            <w:tcW w:w="1813" w:type="dxa"/>
          </w:tcPr>
          <w:p>
            <w:pPr>
              <w:spacing w:line="360" w:lineRule="auto"/>
              <w:jc w:val="center"/>
              <w:rPr>
                <w:rFonts w:ascii="仿宋" w:hAnsi="仿宋" w:eastAsia="仿宋"/>
                <w:sz w:val="28"/>
                <w:szCs w:val="28"/>
              </w:rPr>
            </w:pPr>
            <w:r>
              <w:rPr>
                <w:rFonts w:hint="eastAsia" w:ascii="仿宋" w:hAnsi="仿宋" w:eastAsia="仿宋"/>
                <w:sz w:val="28"/>
                <w:szCs w:val="28"/>
              </w:rPr>
              <w:t>数量（台）</w:t>
            </w:r>
          </w:p>
        </w:tc>
        <w:tc>
          <w:tcPr>
            <w:tcW w:w="1813" w:type="dxa"/>
          </w:tcPr>
          <w:p>
            <w:pPr>
              <w:spacing w:line="360" w:lineRule="auto"/>
              <w:jc w:val="center"/>
              <w:rPr>
                <w:rFonts w:ascii="仿宋" w:hAnsi="仿宋" w:eastAsia="仿宋"/>
                <w:sz w:val="28"/>
                <w:szCs w:val="28"/>
              </w:rPr>
            </w:pPr>
            <w:r>
              <w:rPr>
                <w:rFonts w:hint="eastAsia" w:ascii="仿宋" w:hAnsi="仿宋" w:eastAsia="仿宋"/>
                <w:sz w:val="28"/>
                <w:szCs w:val="28"/>
              </w:rPr>
              <w:t>单价（元）</w:t>
            </w:r>
          </w:p>
        </w:tc>
        <w:tc>
          <w:tcPr>
            <w:tcW w:w="1813" w:type="dxa"/>
          </w:tcPr>
          <w:p>
            <w:pPr>
              <w:spacing w:line="360" w:lineRule="auto"/>
              <w:jc w:val="center"/>
              <w:rPr>
                <w:rFonts w:ascii="仿宋" w:hAnsi="仿宋" w:eastAsia="仿宋"/>
                <w:sz w:val="28"/>
                <w:szCs w:val="28"/>
              </w:rPr>
            </w:pPr>
            <w:r>
              <w:rPr>
                <w:rFonts w:hint="eastAsia" w:ascii="仿宋" w:hAnsi="仿宋" w:eastAsia="仿宋"/>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tcPr>
          <w:p>
            <w:pPr>
              <w:spacing w:line="360" w:lineRule="auto"/>
              <w:rPr>
                <w:rFonts w:ascii="仿宋" w:hAnsi="仿宋" w:eastAsia="仿宋"/>
                <w:sz w:val="28"/>
                <w:szCs w:val="28"/>
              </w:rPr>
            </w:pPr>
          </w:p>
        </w:tc>
        <w:tc>
          <w:tcPr>
            <w:tcW w:w="1754"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tcPr>
          <w:p>
            <w:pPr>
              <w:spacing w:line="360" w:lineRule="auto"/>
              <w:rPr>
                <w:rFonts w:ascii="仿宋" w:hAnsi="仿宋" w:eastAsia="仿宋"/>
                <w:sz w:val="28"/>
                <w:szCs w:val="28"/>
              </w:rPr>
            </w:pPr>
          </w:p>
        </w:tc>
        <w:tc>
          <w:tcPr>
            <w:tcW w:w="1754"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tcPr>
          <w:p>
            <w:pPr>
              <w:spacing w:line="360" w:lineRule="auto"/>
              <w:rPr>
                <w:rFonts w:ascii="仿宋" w:hAnsi="仿宋" w:eastAsia="仿宋"/>
                <w:sz w:val="28"/>
                <w:szCs w:val="28"/>
              </w:rPr>
            </w:pPr>
          </w:p>
        </w:tc>
        <w:tc>
          <w:tcPr>
            <w:tcW w:w="1754"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tcPr>
          <w:p>
            <w:pPr>
              <w:spacing w:line="360" w:lineRule="auto"/>
              <w:rPr>
                <w:rFonts w:ascii="仿宋" w:hAnsi="仿宋" w:eastAsia="仿宋"/>
                <w:sz w:val="28"/>
                <w:szCs w:val="28"/>
              </w:rPr>
            </w:pPr>
          </w:p>
        </w:tc>
        <w:tc>
          <w:tcPr>
            <w:tcW w:w="1754"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vMerge w:val="restart"/>
          </w:tcPr>
          <w:p>
            <w:pPr>
              <w:spacing w:line="360" w:lineRule="auto"/>
              <w:rPr>
                <w:rFonts w:ascii="仿宋" w:hAnsi="仿宋" w:eastAsia="仿宋"/>
                <w:sz w:val="28"/>
                <w:szCs w:val="28"/>
              </w:rPr>
            </w:pPr>
            <w:r>
              <w:rPr>
                <w:rFonts w:hint="eastAsia" w:ascii="仿宋" w:hAnsi="仿宋" w:eastAsia="仿宋"/>
                <w:sz w:val="28"/>
                <w:szCs w:val="28"/>
              </w:rPr>
              <w:t>详列税费及其他费用</w:t>
            </w:r>
          </w:p>
        </w:tc>
        <w:tc>
          <w:tcPr>
            <w:tcW w:w="1754"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vMerge w:val="continue"/>
          </w:tcPr>
          <w:p>
            <w:pPr>
              <w:spacing w:line="360" w:lineRule="auto"/>
              <w:rPr>
                <w:rFonts w:ascii="仿宋" w:hAnsi="仿宋" w:eastAsia="仿宋"/>
                <w:sz w:val="28"/>
                <w:szCs w:val="28"/>
              </w:rPr>
            </w:pPr>
          </w:p>
        </w:tc>
        <w:tc>
          <w:tcPr>
            <w:tcW w:w="1754"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vMerge w:val="continue"/>
          </w:tcPr>
          <w:p>
            <w:pPr>
              <w:spacing w:line="360" w:lineRule="auto"/>
              <w:rPr>
                <w:rFonts w:ascii="仿宋" w:hAnsi="仿宋" w:eastAsia="仿宋"/>
                <w:sz w:val="28"/>
                <w:szCs w:val="28"/>
              </w:rPr>
            </w:pPr>
          </w:p>
        </w:tc>
        <w:tc>
          <w:tcPr>
            <w:tcW w:w="1754"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vMerge w:val="continue"/>
          </w:tcPr>
          <w:p>
            <w:pPr>
              <w:spacing w:line="360" w:lineRule="auto"/>
              <w:rPr>
                <w:rFonts w:ascii="仿宋" w:hAnsi="仿宋" w:eastAsia="仿宋"/>
                <w:sz w:val="28"/>
                <w:szCs w:val="28"/>
              </w:rPr>
            </w:pPr>
          </w:p>
        </w:tc>
        <w:tc>
          <w:tcPr>
            <w:tcW w:w="1754"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c>
          <w:tcPr>
            <w:tcW w:w="1813" w:type="dxa"/>
          </w:tcPr>
          <w:p>
            <w:pPr>
              <w:spacing w:line="360" w:lineRule="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4" w:type="dxa"/>
            <w:gridSpan w:val="4"/>
          </w:tcPr>
          <w:p>
            <w:pPr>
              <w:spacing w:line="360" w:lineRule="auto"/>
              <w:rPr>
                <w:rFonts w:ascii="仿宋" w:hAnsi="仿宋" w:eastAsia="仿宋"/>
                <w:sz w:val="28"/>
                <w:szCs w:val="28"/>
              </w:rPr>
            </w:pPr>
            <w:r>
              <w:rPr>
                <w:rFonts w:hint="eastAsia" w:ascii="仿宋" w:hAnsi="仿宋" w:eastAsia="仿宋"/>
                <w:sz w:val="28"/>
                <w:szCs w:val="28"/>
              </w:rPr>
              <w:t>总报价（大写）：</w:t>
            </w:r>
          </w:p>
        </w:tc>
        <w:tc>
          <w:tcPr>
            <w:tcW w:w="1813" w:type="dxa"/>
          </w:tcPr>
          <w:p>
            <w:pPr>
              <w:spacing w:line="360" w:lineRule="auto"/>
              <w:rPr>
                <w:rFonts w:ascii="仿宋" w:hAnsi="仿宋" w:eastAsia="仿宋"/>
                <w:sz w:val="28"/>
                <w:szCs w:val="28"/>
              </w:rPr>
            </w:pPr>
            <w:r>
              <w:rPr>
                <w:rFonts w:hint="eastAsia" w:ascii="仿宋" w:hAnsi="仿宋" w:eastAsia="仿宋"/>
                <w:sz w:val="28"/>
                <w:szCs w:val="28"/>
              </w:rPr>
              <w:t>￥</w:t>
            </w:r>
          </w:p>
        </w:tc>
      </w:tr>
    </w:tbl>
    <w:p>
      <w:pPr>
        <w:spacing w:line="360" w:lineRule="auto"/>
        <w:rPr>
          <w:rFonts w:ascii="仿宋" w:hAnsi="仿宋" w:eastAsia="仿宋"/>
          <w:sz w:val="28"/>
          <w:szCs w:val="28"/>
        </w:rPr>
      </w:pPr>
      <w:r>
        <w:rPr>
          <w:rFonts w:hint="eastAsia" w:ascii="仿宋" w:hAnsi="仿宋" w:eastAsia="仿宋"/>
          <w:sz w:val="28"/>
          <w:szCs w:val="28"/>
        </w:rPr>
        <w:t>注：1.本表只是表式，供应商可根据实际需要自行增减。</w:t>
      </w:r>
    </w:p>
    <w:p>
      <w:pPr>
        <w:widowControl/>
        <w:jc w:val="left"/>
        <w:rPr>
          <w:rFonts w:ascii="仿宋" w:hAnsi="仿宋" w:eastAsia="仿宋"/>
          <w:sz w:val="28"/>
          <w:szCs w:val="28"/>
        </w:rPr>
      </w:pPr>
      <w:r>
        <w:rPr>
          <w:rFonts w:ascii="仿宋" w:hAnsi="仿宋" w:eastAsia="仿宋"/>
          <w:sz w:val="28"/>
          <w:szCs w:val="28"/>
        </w:rPr>
        <w:br w:type="page"/>
      </w:r>
    </w:p>
    <w:p>
      <w:pPr>
        <w:widowControl/>
        <w:shd w:val="clear" w:color="auto" w:fill="FFFFFF"/>
        <w:spacing w:line="360" w:lineRule="auto"/>
        <w:jc w:val="left"/>
        <w:rPr>
          <w:rFonts w:ascii="仿宋" w:hAnsi="仿宋" w:eastAsia="仿宋" w:cs="仿宋"/>
          <w:b/>
          <w:sz w:val="28"/>
          <w:szCs w:val="28"/>
        </w:rPr>
      </w:pPr>
      <w:r>
        <w:rPr>
          <w:rFonts w:ascii="仿宋" w:hAnsi="仿宋" w:eastAsia="仿宋" w:cs="仿宋"/>
          <w:b/>
          <w:sz w:val="28"/>
          <w:szCs w:val="28"/>
        </w:rPr>
        <w:t>附件</w:t>
      </w:r>
      <w:r>
        <w:rPr>
          <w:rFonts w:hint="eastAsia" w:ascii="仿宋" w:hAnsi="仿宋" w:eastAsia="仿宋" w:cs="仿宋"/>
          <w:b/>
          <w:sz w:val="28"/>
          <w:szCs w:val="28"/>
        </w:rPr>
        <w:t>5：供应商情况一览表</w:t>
      </w:r>
    </w:p>
    <w:p>
      <w:pPr>
        <w:spacing w:line="360" w:lineRule="auto"/>
        <w:jc w:val="center"/>
        <w:rPr>
          <w:rFonts w:ascii="仿宋" w:hAnsi="仿宋" w:eastAsia="仿宋"/>
          <w:b/>
          <w:sz w:val="32"/>
          <w:szCs w:val="28"/>
        </w:rPr>
      </w:pPr>
      <w:r>
        <w:rPr>
          <w:rFonts w:hint="eastAsia" w:ascii="仿宋" w:hAnsi="仿宋" w:eastAsia="仿宋"/>
          <w:b/>
          <w:sz w:val="32"/>
          <w:szCs w:val="28"/>
        </w:rPr>
        <w:t>情况一览表</w:t>
      </w:r>
    </w:p>
    <w:tbl>
      <w:tblPr>
        <w:tblStyle w:val="5"/>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851"/>
        <w:gridCol w:w="708"/>
        <w:gridCol w:w="1561"/>
        <w:gridCol w:w="1135"/>
        <w:gridCol w:w="851"/>
        <w:gridCol w:w="141"/>
        <w:gridCol w:w="271"/>
        <w:gridCol w:w="1002"/>
        <w:gridCol w:w="271"/>
        <w:gridCol w:w="11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6" w:type="dxa"/>
            <w:gridSpan w:val="2"/>
            <w:vAlign w:val="center"/>
          </w:tcPr>
          <w:p>
            <w:pPr>
              <w:spacing w:line="360" w:lineRule="auto"/>
              <w:rPr>
                <w:rFonts w:ascii="仿宋" w:hAnsi="仿宋" w:eastAsia="仿宋"/>
                <w:sz w:val="24"/>
                <w:szCs w:val="24"/>
              </w:rPr>
            </w:pPr>
            <w:r>
              <w:rPr>
                <w:rFonts w:hint="eastAsia" w:ascii="仿宋" w:hAnsi="仿宋" w:eastAsia="仿宋"/>
                <w:sz w:val="24"/>
                <w:szCs w:val="24"/>
              </w:rPr>
              <w:t>单位名称</w:t>
            </w:r>
          </w:p>
        </w:tc>
        <w:tc>
          <w:tcPr>
            <w:tcW w:w="7941" w:type="dxa"/>
            <w:gridSpan w:val="10"/>
            <w:vAlign w:val="center"/>
          </w:tcPr>
          <w:p>
            <w:pPr>
              <w:spacing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4" w:type="dxa"/>
            <w:gridSpan w:val="3"/>
            <w:vAlign w:val="center"/>
          </w:tcPr>
          <w:p>
            <w:pPr>
              <w:spacing w:line="360" w:lineRule="auto"/>
              <w:rPr>
                <w:rFonts w:ascii="仿宋" w:hAnsi="仿宋" w:eastAsia="仿宋"/>
                <w:sz w:val="24"/>
                <w:szCs w:val="24"/>
              </w:rPr>
            </w:pPr>
            <w:r>
              <w:rPr>
                <w:rFonts w:hint="eastAsia" w:ascii="仿宋" w:hAnsi="仿宋" w:eastAsia="仿宋"/>
                <w:sz w:val="24"/>
                <w:szCs w:val="24"/>
              </w:rPr>
              <w:t>单位优势及特长</w:t>
            </w:r>
          </w:p>
        </w:tc>
        <w:tc>
          <w:tcPr>
            <w:tcW w:w="7233" w:type="dxa"/>
            <w:gridSpan w:val="9"/>
            <w:vAlign w:val="center"/>
          </w:tcPr>
          <w:p>
            <w:pPr>
              <w:spacing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restart"/>
            <w:vAlign w:val="center"/>
          </w:tcPr>
          <w:p>
            <w:pPr>
              <w:spacing w:line="360" w:lineRule="auto"/>
              <w:rPr>
                <w:rFonts w:ascii="仿宋" w:hAnsi="仿宋" w:eastAsia="仿宋"/>
                <w:sz w:val="24"/>
                <w:szCs w:val="24"/>
              </w:rPr>
            </w:pPr>
            <w:r>
              <w:rPr>
                <w:rFonts w:hint="eastAsia" w:ascii="仿宋" w:hAnsi="仿宋" w:eastAsia="仿宋"/>
                <w:sz w:val="24"/>
                <w:szCs w:val="24"/>
              </w:rPr>
              <w:t>单位</w:t>
            </w:r>
          </w:p>
          <w:p>
            <w:pPr>
              <w:spacing w:line="360" w:lineRule="auto"/>
              <w:rPr>
                <w:rFonts w:ascii="仿宋" w:hAnsi="仿宋" w:eastAsia="仿宋"/>
                <w:sz w:val="24"/>
                <w:szCs w:val="24"/>
              </w:rPr>
            </w:pPr>
            <w:r>
              <w:rPr>
                <w:rFonts w:hint="eastAsia" w:ascii="仿宋" w:hAnsi="仿宋" w:eastAsia="仿宋"/>
                <w:sz w:val="24"/>
                <w:szCs w:val="24"/>
              </w:rPr>
              <w:t>概况</w:t>
            </w:r>
          </w:p>
        </w:tc>
        <w:tc>
          <w:tcPr>
            <w:tcW w:w="1559" w:type="dxa"/>
            <w:gridSpan w:val="2"/>
            <w:vAlign w:val="center"/>
          </w:tcPr>
          <w:p>
            <w:pPr>
              <w:spacing w:line="360" w:lineRule="auto"/>
              <w:rPr>
                <w:rFonts w:ascii="仿宋" w:hAnsi="仿宋" w:eastAsia="仿宋"/>
                <w:sz w:val="24"/>
                <w:szCs w:val="24"/>
              </w:rPr>
            </w:pPr>
            <w:r>
              <w:rPr>
                <w:rFonts w:hint="eastAsia" w:ascii="仿宋" w:hAnsi="仿宋" w:eastAsia="仿宋"/>
                <w:sz w:val="24"/>
                <w:szCs w:val="24"/>
              </w:rPr>
              <w:t>职工总数</w:t>
            </w:r>
          </w:p>
        </w:tc>
        <w:tc>
          <w:tcPr>
            <w:tcW w:w="1561" w:type="dxa"/>
            <w:vAlign w:val="center"/>
          </w:tcPr>
          <w:p>
            <w:pPr>
              <w:spacing w:line="360" w:lineRule="auto"/>
              <w:rPr>
                <w:rFonts w:ascii="仿宋" w:hAnsi="仿宋" w:eastAsia="仿宋"/>
                <w:sz w:val="24"/>
                <w:szCs w:val="24"/>
              </w:rPr>
            </w:pPr>
            <w:r>
              <w:rPr>
                <w:rFonts w:hint="eastAsia" w:ascii="仿宋" w:hAnsi="仿宋" w:eastAsia="仿宋"/>
                <w:sz w:val="24"/>
                <w:szCs w:val="24"/>
              </w:rPr>
              <w:t>人</w:t>
            </w:r>
          </w:p>
        </w:tc>
        <w:tc>
          <w:tcPr>
            <w:tcW w:w="1135" w:type="dxa"/>
            <w:vMerge w:val="restart"/>
            <w:vAlign w:val="center"/>
          </w:tcPr>
          <w:p>
            <w:pPr>
              <w:spacing w:line="360" w:lineRule="auto"/>
              <w:rPr>
                <w:rFonts w:ascii="仿宋" w:hAnsi="仿宋" w:eastAsia="仿宋"/>
                <w:sz w:val="24"/>
                <w:szCs w:val="24"/>
              </w:rPr>
            </w:pPr>
            <w:r>
              <w:rPr>
                <w:rFonts w:hint="eastAsia" w:ascii="仿宋" w:hAnsi="仿宋" w:eastAsia="仿宋"/>
                <w:sz w:val="24"/>
                <w:szCs w:val="24"/>
              </w:rPr>
              <w:t>上一年主要经济指标</w:t>
            </w:r>
          </w:p>
        </w:tc>
        <w:tc>
          <w:tcPr>
            <w:tcW w:w="992" w:type="dxa"/>
            <w:gridSpan w:val="2"/>
            <w:vAlign w:val="center"/>
          </w:tcPr>
          <w:p>
            <w:pPr>
              <w:spacing w:line="360" w:lineRule="auto"/>
              <w:rPr>
                <w:rFonts w:ascii="仿宋" w:hAnsi="仿宋" w:eastAsia="仿宋"/>
                <w:sz w:val="24"/>
                <w:szCs w:val="24"/>
              </w:rPr>
            </w:pPr>
            <w:r>
              <w:rPr>
                <w:rFonts w:hint="eastAsia" w:ascii="仿宋" w:hAnsi="仿宋" w:eastAsia="仿宋"/>
                <w:sz w:val="24"/>
                <w:szCs w:val="24"/>
              </w:rPr>
              <w:t>营业额</w:t>
            </w:r>
          </w:p>
        </w:tc>
        <w:tc>
          <w:tcPr>
            <w:tcW w:w="1273" w:type="dxa"/>
            <w:gridSpan w:val="2"/>
            <w:vAlign w:val="center"/>
          </w:tcPr>
          <w:p>
            <w:pPr>
              <w:spacing w:line="360" w:lineRule="auto"/>
              <w:rPr>
                <w:rFonts w:ascii="仿宋" w:hAnsi="仿宋" w:eastAsia="仿宋"/>
                <w:sz w:val="24"/>
                <w:szCs w:val="24"/>
              </w:rPr>
            </w:pPr>
          </w:p>
        </w:tc>
        <w:tc>
          <w:tcPr>
            <w:tcW w:w="1421" w:type="dxa"/>
            <w:gridSpan w:val="2"/>
            <w:vAlign w:val="center"/>
          </w:tcPr>
          <w:p>
            <w:pPr>
              <w:spacing w:line="360" w:lineRule="auto"/>
              <w:rPr>
                <w:rFonts w:ascii="仿宋" w:hAnsi="仿宋" w:eastAsia="仿宋"/>
                <w:sz w:val="24"/>
                <w:szCs w:val="24"/>
              </w:rPr>
            </w:pPr>
            <w:r>
              <w:rPr>
                <w:rFonts w:hint="eastAsia" w:ascii="仿宋" w:hAnsi="仿宋" w:eastAsia="仿宋"/>
                <w:sz w:val="24"/>
                <w:szCs w:val="24"/>
              </w:rPr>
              <w:t>实现利润</w:t>
            </w:r>
          </w:p>
        </w:tc>
        <w:tc>
          <w:tcPr>
            <w:tcW w:w="851" w:type="dxa"/>
            <w:vAlign w:val="center"/>
          </w:tcPr>
          <w:p>
            <w:pPr>
              <w:spacing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vAlign w:val="center"/>
          </w:tcPr>
          <w:p>
            <w:pPr>
              <w:spacing w:line="360" w:lineRule="auto"/>
              <w:rPr>
                <w:rFonts w:ascii="仿宋" w:hAnsi="仿宋" w:eastAsia="仿宋"/>
                <w:sz w:val="24"/>
                <w:szCs w:val="24"/>
              </w:rPr>
            </w:pPr>
          </w:p>
        </w:tc>
        <w:tc>
          <w:tcPr>
            <w:tcW w:w="1559" w:type="dxa"/>
            <w:gridSpan w:val="2"/>
            <w:vAlign w:val="center"/>
          </w:tcPr>
          <w:p>
            <w:pPr>
              <w:spacing w:line="360" w:lineRule="auto"/>
              <w:rPr>
                <w:rFonts w:ascii="仿宋" w:hAnsi="仿宋" w:eastAsia="仿宋"/>
                <w:sz w:val="24"/>
                <w:szCs w:val="24"/>
              </w:rPr>
            </w:pPr>
            <w:r>
              <w:rPr>
                <w:rFonts w:hint="eastAsia" w:ascii="仿宋" w:hAnsi="仿宋" w:eastAsia="仿宋"/>
                <w:sz w:val="24"/>
                <w:szCs w:val="24"/>
              </w:rPr>
              <w:t>流动资金</w:t>
            </w:r>
          </w:p>
        </w:tc>
        <w:tc>
          <w:tcPr>
            <w:tcW w:w="1561" w:type="dxa"/>
            <w:vAlign w:val="center"/>
          </w:tcPr>
          <w:p>
            <w:pPr>
              <w:spacing w:line="360" w:lineRule="auto"/>
              <w:rPr>
                <w:rFonts w:ascii="仿宋" w:hAnsi="仿宋" w:eastAsia="仿宋"/>
                <w:sz w:val="24"/>
                <w:szCs w:val="24"/>
              </w:rPr>
            </w:pPr>
            <w:r>
              <w:rPr>
                <w:rFonts w:hint="eastAsia" w:ascii="仿宋" w:hAnsi="仿宋" w:eastAsia="仿宋"/>
                <w:sz w:val="24"/>
                <w:szCs w:val="24"/>
              </w:rPr>
              <w:t>万元</w:t>
            </w:r>
          </w:p>
        </w:tc>
        <w:tc>
          <w:tcPr>
            <w:tcW w:w="1135" w:type="dxa"/>
            <w:vMerge w:val="continue"/>
            <w:vAlign w:val="center"/>
          </w:tcPr>
          <w:p>
            <w:pPr>
              <w:spacing w:line="360" w:lineRule="auto"/>
              <w:rPr>
                <w:rFonts w:ascii="仿宋" w:hAnsi="仿宋" w:eastAsia="仿宋"/>
                <w:sz w:val="24"/>
                <w:szCs w:val="24"/>
              </w:rPr>
            </w:pPr>
          </w:p>
        </w:tc>
        <w:tc>
          <w:tcPr>
            <w:tcW w:w="992" w:type="dxa"/>
            <w:gridSpan w:val="2"/>
            <w:vMerge w:val="restart"/>
            <w:vAlign w:val="center"/>
          </w:tcPr>
          <w:p>
            <w:pPr>
              <w:spacing w:line="360" w:lineRule="auto"/>
              <w:rPr>
                <w:rFonts w:ascii="仿宋" w:hAnsi="仿宋" w:eastAsia="仿宋"/>
                <w:sz w:val="24"/>
                <w:szCs w:val="24"/>
              </w:rPr>
            </w:pPr>
            <w:r>
              <w:rPr>
                <w:rFonts w:hint="eastAsia" w:ascii="仿宋" w:hAnsi="仿宋" w:eastAsia="仿宋"/>
                <w:sz w:val="24"/>
                <w:szCs w:val="24"/>
              </w:rPr>
              <w:t>主要</w:t>
            </w:r>
          </w:p>
          <w:p>
            <w:pPr>
              <w:spacing w:line="360" w:lineRule="auto"/>
              <w:rPr>
                <w:rFonts w:ascii="仿宋" w:hAnsi="仿宋" w:eastAsia="仿宋"/>
                <w:sz w:val="24"/>
                <w:szCs w:val="24"/>
              </w:rPr>
            </w:pPr>
            <w:r>
              <w:rPr>
                <w:rFonts w:hint="eastAsia" w:ascii="仿宋" w:hAnsi="仿宋" w:eastAsia="仿宋"/>
                <w:sz w:val="24"/>
                <w:szCs w:val="24"/>
              </w:rPr>
              <w:t>产品</w:t>
            </w:r>
          </w:p>
        </w:tc>
        <w:tc>
          <w:tcPr>
            <w:tcW w:w="3545" w:type="dxa"/>
            <w:gridSpan w:val="5"/>
            <w:vAlign w:val="center"/>
          </w:tcPr>
          <w:p>
            <w:pPr>
              <w:spacing w:line="360" w:lineRule="auto"/>
              <w:rPr>
                <w:rFonts w:ascii="仿宋" w:hAnsi="仿宋" w:eastAsia="仿宋"/>
                <w:sz w:val="24"/>
                <w:szCs w:val="24"/>
              </w:rPr>
            </w:pPr>
            <w:r>
              <w:rPr>
                <w:rFonts w:hint="eastAsia" w:ascii="仿宋" w:hAnsi="仿宋" w:eastAsia="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815" w:type="dxa"/>
            <w:vMerge w:val="continue"/>
            <w:vAlign w:val="center"/>
          </w:tcPr>
          <w:p>
            <w:pPr>
              <w:spacing w:line="360" w:lineRule="auto"/>
              <w:rPr>
                <w:rFonts w:ascii="仿宋" w:hAnsi="仿宋" w:eastAsia="仿宋"/>
                <w:sz w:val="24"/>
                <w:szCs w:val="24"/>
              </w:rPr>
            </w:pPr>
          </w:p>
        </w:tc>
        <w:tc>
          <w:tcPr>
            <w:tcW w:w="1559" w:type="dxa"/>
            <w:gridSpan w:val="2"/>
            <w:vAlign w:val="center"/>
          </w:tcPr>
          <w:p>
            <w:pPr>
              <w:spacing w:line="360" w:lineRule="auto"/>
              <w:rPr>
                <w:rFonts w:ascii="仿宋" w:hAnsi="仿宋" w:eastAsia="仿宋"/>
                <w:sz w:val="24"/>
                <w:szCs w:val="24"/>
              </w:rPr>
            </w:pPr>
            <w:r>
              <w:rPr>
                <w:rFonts w:hint="eastAsia" w:ascii="仿宋" w:hAnsi="仿宋" w:eastAsia="仿宋"/>
                <w:sz w:val="24"/>
                <w:szCs w:val="24"/>
              </w:rPr>
              <w:t>固定资产</w:t>
            </w:r>
          </w:p>
          <w:p>
            <w:pPr>
              <w:spacing w:line="360" w:lineRule="auto"/>
              <w:rPr>
                <w:rFonts w:ascii="仿宋" w:hAnsi="仿宋" w:eastAsia="仿宋"/>
                <w:sz w:val="24"/>
                <w:szCs w:val="24"/>
              </w:rPr>
            </w:pPr>
            <w:r>
              <w:rPr>
                <w:rFonts w:hint="eastAsia" w:ascii="仿宋" w:hAnsi="仿宋" w:eastAsia="仿宋"/>
                <w:sz w:val="24"/>
                <w:szCs w:val="24"/>
              </w:rPr>
              <w:t>（万元）</w:t>
            </w:r>
          </w:p>
        </w:tc>
        <w:tc>
          <w:tcPr>
            <w:tcW w:w="1561" w:type="dxa"/>
            <w:vAlign w:val="center"/>
          </w:tcPr>
          <w:p>
            <w:pPr>
              <w:spacing w:line="360" w:lineRule="auto"/>
              <w:rPr>
                <w:rFonts w:ascii="仿宋" w:hAnsi="仿宋" w:eastAsia="仿宋"/>
                <w:sz w:val="24"/>
                <w:szCs w:val="24"/>
              </w:rPr>
            </w:pPr>
            <w:r>
              <w:rPr>
                <w:rFonts w:hint="eastAsia" w:ascii="仿宋" w:hAnsi="仿宋" w:eastAsia="仿宋"/>
                <w:sz w:val="24"/>
                <w:szCs w:val="24"/>
              </w:rPr>
              <w:t>原值：</w:t>
            </w:r>
          </w:p>
          <w:p>
            <w:pPr>
              <w:spacing w:line="360" w:lineRule="auto"/>
              <w:rPr>
                <w:rFonts w:ascii="仿宋" w:hAnsi="仿宋" w:eastAsia="仿宋"/>
                <w:sz w:val="24"/>
                <w:szCs w:val="24"/>
              </w:rPr>
            </w:pPr>
            <w:r>
              <w:rPr>
                <w:rFonts w:hint="eastAsia" w:ascii="仿宋" w:hAnsi="仿宋" w:eastAsia="仿宋"/>
                <w:sz w:val="24"/>
                <w:szCs w:val="24"/>
              </w:rPr>
              <w:t>净值：</w:t>
            </w:r>
          </w:p>
        </w:tc>
        <w:tc>
          <w:tcPr>
            <w:tcW w:w="1135" w:type="dxa"/>
            <w:vMerge w:val="continue"/>
            <w:vAlign w:val="center"/>
          </w:tcPr>
          <w:p>
            <w:pPr>
              <w:spacing w:line="360" w:lineRule="auto"/>
              <w:rPr>
                <w:rFonts w:ascii="仿宋" w:hAnsi="仿宋" w:eastAsia="仿宋"/>
                <w:sz w:val="24"/>
                <w:szCs w:val="24"/>
              </w:rPr>
            </w:pPr>
          </w:p>
        </w:tc>
        <w:tc>
          <w:tcPr>
            <w:tcW w:w="992" w:type="dxa"/>
            <w:gridSpan w:val="2"/>
            <w:vMerge w:val="continue"/>
            <w:vAlign w:val="center"/>
          </w:tcPr>
          <w:p>
            <w:pPr>
              <w:spacing w:line="360" w:lineRule="auto"/>
              <w:rPr>
                <w:rFonts w:ascii="仿宋" w:hAnsi="仿宋" w:eastAsia="仿宋"/>
                <w:sz w:val="24"/>
                <w:szCs w:val="24"/>
              </w:rPr>
            </w:pPr>
          </w:p>
        </w:tc>
        <w:tc>
          <w:tcPr>
            <w:tcW w:w="3545" w:type="dxa"/>
            <w:gridSpan w:val="5"/>
            <w:vAlign w:val="center"/>
          </w:tcPr>
          <w:p>
            <w:pPr>
              <w:spacing w:line="360" w:lineRule="auto"/>
              <w:rPr>
                <w:rFonts w:ascii="仿宋" w:hAnsi="仿宋" w:eastAsia="仿宋"/>
                <w:sz w:val="24"/>
                <w:szCs w:val="24"/>
              </w:rPr>
            </w:pPr>
            <w:r>
              <w:rPr>
                <w:rFonts w:hint="eastAsia" w:ascii="仿宋" w:hAnsi="仿宋" w:eastAsia="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vAlign w:val="center"/>
          </w:tcPr>
          <w:p>
            <w:pPr>
              <w:spacing w:line="360" w:lineRule="auto"/>
              <w:rPr>
                <w:rFonts w:ascii="仿宋" w:hAnsi="仿宋" w:eastAsia="仿宋"/>
                <w:sz w:val="24"/>
                <w:szCs w:val="24"/>
              </w:rPr>
            </w:pPr>
          </w:p>
        </w:tc>
        <w:tc>
          <w:tcPr>
            <w:tcW w:w="1559" w:type="dxa"/>
            <w:gridSpan w:val="2"/>
            <w:vAlign w:val="center"/>
          </w:tcPr>
          <w:p>
            <w:pPr>
              <w:spacing w:line="360" w:lineRule="auto"/>
              <w:rPr>
                <w:rFonts w:ascii="仿宋" w:hAnsi="仿宋" w:eastAsia="仿宋"/>
                <w:sz w:val="24"/>
                <w:szCs w:val="24"/>
              </w:rPr>
            </w:pPr>
            <w:r>
              <w:rPr>
                <w:rFonts w:hint="eastAsia" w:ascii="仿宋" w:hAnsi="仿宋" w:eastAsia="仿宋"/>
                <w:sz w:val="24"/>
                <w:szCs w:val="24"/>
              </w:rPr>
              <w:t>占地面积</w:t>
            </w:r>
          </w:p>
        </w:tc>
        <w:tc>
          <w:tcPr>
            <w:tcW w:w="1561" w:type="dxa"/>
            <w:vAlign w:val="center"/>
          </w:tcPr>
          <w:p>
            <w:pPr>
              <w:spacing w:line="360" w:lineRule="auto"/>
              <w:rPr>
                <w:rFonts w:ascii="仿宋" w:hAnsi="仿宋" w:eastAsia="仿宋"/>
                <w:sz w:val="24"/>
                <w:szCs w:val="24"/>
              </w:rPr>
            </w:pPr>
            <w:r>
              <w:rPr>
                <w:rFonts w:hint="eastAsia" w:ascii="仿宋" w:hAnsi="仿宋" w:eastAsia="仿宋"/>
                <w:sz w:val="24"/>
                <w:szCs w:val="24"/>
              </w:rPr>
              <w:t>M2</w:t>
            </w:r>
          </w:p>
        </w:tc>
        <w:tc>
          <w:tcPr>
            <w:tcW w:w="1135" w:type="dxa"/>
            <w:vMerge w:val="continue"/>
            <w:vAlign w:val="center"/>
          </w:tcPr>
          <w:p>
            <w:pPr>
              <w:spacing w:line="360" w:lineRule="auto"/>
              <w:rPr>
                <w:rFonts w:ascii="仿宋" w:hAnsi="仿宋" w:eastAsia="仿宋"/>
                <w:sz w:val="24"/>
                <w:szCs w:val="24"/>
              </w:rPr>
            </w:pPr>
          </w:p>
        </w:tc>
        <w:tc>
          <w:tcPr>
            <w:tcW w:w="992" w:type="dxa"/>
            <w:gridSpan w:val="2"/>
            <w:vMerge w:val="continue"/>
            <w:vAlign w:val="center"/>
          </w:tcPr>
          <w:p>
            <w:pPr>
              <w:spacing w:line="360" w:lineRule="auto"/>
              <w:rPr>
                <w:rFonts w:ascii="仿宋" w:hAnsi="仿宋" w:eastAsia="仿宋"/>
                <w:sz w:val="24"/>
                <w:szCs w:val="24"/>
              </w:rPr>
            </w:pPr>
          </w:p>
        </w:tc>
        <w:tc>
          <w:tcPr>
            <w:tcW w:w="3545" w:type="dxa"/>
            <w:gridSpan w:val="5"/>
            <w:vAlign w:val="center"/>
          </w:tcPr>
          <w:p>
            <w:pPr>
              <w:spacing w:line="360" w:lineRule="auto"/>
              <w:rPr>
                <w:rFonts w:ascii="仿宋" w:hAnsi="仿宋" w:eastAsia="仿宋"/>
                <w:sz w:val="24"/>
                <w:szCs w:val="24"/>
              </w:rPr>
            </w:pPr>
            <w:r>
              <w:rPr>
                <w:rFonts w:hint="eastAsia" w:ascii="仿宋" w:hAnsi="仿宋" w:eastAsia="仿宋"/>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restart"/>
            <w:vAlign w:val="center"/>
          </w:tcPr>
          <w:p>
            <w:pPr>
              <w:spacing w:line="360" w:lineRule="auto"/>
              <w:rPr>
                <w:rFonts w:ascii="仿宋" w:hAnsi="仿宋" w:eastAsia="仿宋"/>
                <w:sz w:val="24"/>
                <w:szCs w:val="24"/>
              </w:rPr>
            </w:pPr>
            <w:r>
              <w:rPr>
                <w:rFonts w:hint="eastAsia" w:ascii="仿宋" w:hAnsi="仿宋" w:eastAsia="仿宋"/>
                <w:sz w:val="24"/>
                <w:szCs w:val="24"/>
              </w:rPr>
              <w:t>本次</w:t>
            </w:r>
          </w:p>
          <w:p>
            <w:pPr>
              <w:spacing w:line="360" w:lineRule="auto"/>
              <w:rPr>
                <w:rFonts w:ascii="仿宋" w:hAnsi="仿宋" w:eastAsia="仿宋"/>
                <w:sz w:val="24"/>
                <w:szCs w:val="24"/>
              </w:rPr>
            </w:pPr>
            <w:r>
              <w:rPr>
                <w:rFonts w:hint="eastAsia" w:ascii="仿宋" w:hAnsi="仿宋" w:eastAsia="仿宋"/>
                <w:sz w:val="24"/>
                <w:szCs w:val="24"/>
              </w:rPr>
              <w:t>响应</w:t>
            </w:r>
          </w:p>
          <w:p>
            <w:pPr>
              <w:spacing w:line="360" w:lineRule="auto"/>
              <w:rPr>
                <w:rFonts w:ascii="仿宋" w:hAnsi="仿宋" w:eastAsia="仿宋"/>
                <w:sz w:val="24"/>
                <w:szCs w:val="24"/>
              </w:rPr>
            </w:pPr>
            <w:r>
              <w:rPr>
                <w:rFonts w:hint="eastAsia" w:ascii="仿宋" w:hAnsi="仿宋" w:eastAsia="仿宋"/>
                <w:sz w:val="24"/>
                <w:szCs w:val="24"/>
              </w:rPr>
              <w:t>产品</w:t>
            </w:r>
          </w:p>
          <w:p>
            <w:pPr>
              <w:spacing w:line="360" w:lineRule="auto"/>
              <w:rPr>
                <w:rFonts w:ascii="仿宋" w:hAnsi="仿宋" w:eastAsia="仿宋"/>
                <w:sz w:val="24"/>
                <w:szCs w:val="24"/>
              </w:rPr>
            </w:pPr>
            <w:r>
              <w:rPr>
                <w:rFonts w:hint="eastAsia" w:ascii="仿宋" w:hAnsi="仿宋" w:eastAsia="仿宋"/>
                <w:sz w:val="24"/>
                <w:szCs w:val="24"/>
              </w:rPr>
              <w:t>情况</w:t>
            </w:r>
          </w:p>
        </w:tc>
        <w:tc>
          <w:tcPr>
            <w:tcW w:w="1559" w:type="dxa"/>
            <w:gridSpan w:val="2"/>
            <w:vAlign w:val="center"/>
          </w:tcPr>
          <w:p>
            <w:pPr>
              <w:spacing w:line="360" w:lineRule="auto"/>
              <w:jc w:val="center"/>
              <w:rPr>
                <w:rFonts w:ascii="仿宋" w:hAnsi="仿宋" w:eastAsia="仿宋"/>
                <w:sz w:val="24"/>
                <w:szCs w:val="24"/>
              </w:rPr>
            </w:pPr>
            <w:r>
              <w:rPr>
                <w:rFonts w:hint="eastAsia" w:ascii="仿宋" w:hAnsi="仿宋" w:eastAsia="仿宋"/>
                <w:sz w:val="24"/>
                <w:szCs w:val="24"/>
              </w:rPr>
              <w:t>本次响应产品名称</w:t>
            </w:r>
          </w:p>
        </w:tc>
        <w:tc>
          <w:tcPr>
            <w:tcW w:w="1561"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型    号</w:t>
            </w:r>
          </w:p>
        </w:tc>
        <w:tc>
          <w:tcPr>
            <w:tcW w:w="1135"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上年产销量</w:t>
            </w:r>
          </w:p>
        </w:tc>
        <w:tc>
          <w:tcPr>
            <w:tcW w:w="1263" w:type="dxa"/>
            <w:gridSpan w:val="3"/>
            <w:vAlign w:val="center"/>
          </w:tcPr>
          <w:p>
            <w:pPr>
              <w:spacing w:line="360" w:lineRule="auto"/>
              <w:jc w:val="center"/>
              <w:rPr>
                <w:rFonts w:ascii="仿宋" w:hAnsi="仿宋" w:eastAsia="仿宋"/>
                <w:sz w:val="24"/>
                <w:szCs w:val="24"/>
              </w:rPr>
            </w:pPr>
            <w:r>
              <w:rPr>
                <w:rFonts w:hint="eastAsia" w:ascii="仿宋" w:hAnsi="仿宋" w:eastAsia="仿宋"/>
                <w:sz w:val="24"/>
                <w:szCs w:val="24"/>
              </w:rPr>
              <w:t>产品技术</w:t>
            </w:r>
          </w:p>
          <w:p>
            <w:pPr>
              <w:spacing w:line="360" w:lineRule="auto"/>
              <w:jc w:val="center"/>
              <w:rPr>
                <w:rFonts w:ascii="仿宋" w:hAnsi="仿宋" w:eastAsia="仿宋"/>
                <w:sz w:val="24"/>
                <w:szCs w:val="24"/>
              </w:rPr>
            </w:pPr>
            <w:r>
              <w:rPr>
                <w:rFonts w:hint="eastAsia" w:ascii="仿宋" w:hAnsi="仿宋" w:eastAsia="仿宋"/>
                <w:sz w:val="24"/>
                <w:szCs w:val="24"/>
              </w:rPr>
              <w:t>先进水平</w:t>
            </w:r>
          </w:p>
        </w:tc>
        <w:tc>
          <w:tcPr>
            <w:tcW w:w="1273" w:type="dxa"/>
            <w:gridSpan w:val="2"/>
            <w:vAlign w:val="center"/>
          </w:tcPr>
          <w:p>
            <w:pPr>
              <w:spacing w:line="360" w:lineRule="auto"/>
              <w:jc w:val="center"/>
              <w:rPr>
                <w:rFonts w:ascii="仿宋" w:hAnsi="仿宋" w:eastAsia="仿宋"/>
                <w:sz w:val="24"/>
                <w:szCs w:val="24"/>
              </w:rPr>
            </w:pPr>
            <w:r>
              <w:rPr>
                <w:rFonts w:hint="eastAsia" w:ascii="仿宋" w:hAnsi="仿宋" w:eastAsia="仿宋"/>
                <w:sz w:val="24"/>
                <w:szCs w:val="24"/>
              </w:rPr>
              <w:t>曾获何级</w:t>
            </w:r>
          </w:p>
          <w:p>
            <w:pPr>
              <w:spacing w:line="360" w:lineRule="auto"/>
              <w:jc w:val="center"/>
              <w:rPr>
                <w:rFonts w:ascii="仿宋" w:hAnsi="仿宋" w:eastAsia="仿宋"/>
                <w:sz w:val="24"/>
                <w:szCs w:val="24"/>
              </w:rPr>
            </w:pPr>
            <w:r>
              <w:rPr>
                <w:rFonts w:hint="eastAsia" w:ascii="仿宋" w:hAnsi="仿宋" w:eastAsia="仿宋"/>
                <w:sz w:val="24"/>
                <w:szCs w:val="24"/>
              </w:rPr>
              <w:t>何种奖励</w:t>
            </w:r>
          </w:p>
        </w:tc>
        <w:tc>
          <w:tcPr>
            <w:tcW w:w="2001" w:type="dxa"/>
            <w:gridSpan w:val="2"/>
            <w:vAlign w:val="center"/>
          </w:tcPr>
          <w:p>
            <w:pPr>
              <w:spacing w:line="360" w:lineRule="auto"/>
              <w:jc w:val="center"/>
              <w:rPr>
                <w:rFonts w:ascii="仿宋" w:hAnsi="仿宋" w:eastAsia="仿宋"/>
                <w:sz w:val="24"/>
                <w:szCs w:val="24"/>
              </w:rPr>
            </w:pPr>
            <w:r>
              <w:rPr>
                <w:rFonts w:hint="eastAsia" w:ascii="仿宋" w:hAnsi="仿宋" w:eastAsia="仿宋"/>
                <w:sz w:val="24"/>
                <w:szCs w:val="24"/>
              </w:rPr>
              <w:t>主要用户名称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vAlign w:val="center"/>
          </w:tcPr>
          <w:p>
            <w:pPr>
              <w:spacing w:line="360" w:lineRule="auto"/>
              <w:rPr>
                <w:rFonts w:ascii="仿宋" w:hAnsi="仿宋" w:eastAsia="仿宋"/>
                <w:sz w:val="24"/>
                <w:szCs w:val="24"/>
              </w:rPr>
            </w:pPr>
          </w:p>
        </w:tc>
        <w:tc>
          <w:tcPr>
            <w:tcW w:w="1559" w:type="dxa"/>
            <w:gridSpan w:val="2"/>
            <w:vAlign w:val="center"/>
          </w:tcPr>
          <w:p>
            <w:pPr>
              <w:spacing w:line="360" w:lineRule="auto"/>
              <w:rPr>
                <w:rFonts w:ascii="仿宋" w:hAnsi="仿宋" w:eastAsia="仿宋"/>
                <w:sz w:val="24"/>
                <w:szCs w:val="24"/>
              </w:rPr>
            </w:pPr>
          </w:p>
        </w:tc>
        <w:tc>
          <w:tcPr>
            <w:tcW w:w="1561" w:type="dxa"/>
            <w:vAlign w:val="center"/>
          </w:tcPr>
          <w:p>
            <w:pPr>
              <w:spacing w:line="360" w:lineRule="auto"/>
              <w:rPr>
                <w:rFonts w:ascii="仿宋" w:hAnsi="仿宋" w:eastAsia="仿宋"/>
                <w:sz w:val="24"/>
                <w:szCs w:val="24"/>
              </w:rPr>
            </w:pPr>
          </w:p>
        </w:tc>
        <w:tc>
          <w:tcPr>
            <w:tcW w:w="1135" w:type="dxa"/>
            <w:vAlign w:val="center"/>
          </w:tcPr>
          <w:p>
            <w:pPr>
              <w:spacing w:line="360" w:lineRule="auto"/>
              <w:rPr>
                <w:rFonts w:ascii="仿宋" w:hAnsi="仿宋" w:eastAsia="仿宋"/>
                <w:sz w:val="24"/>
                <w:szCs w:val="24"/>
              </w:rPr>
            </w:pPr>
          </w:p>
        </w:tc>
        <w:tc>
          <w:tcPr>
            <w:tcW w:w="1263" w:type="dxa"/>
            <w:gridSpan w:val="3"/>
            <w:vAlign w:val="center"/>
          </w:tcPr>
          <w:p>
            <w:pPr>
              <w:spacing w:line="360" w:lineRule="auto"/>
              <w:rPr>
                <w:rFonts w:ascii="仿宋" w:hAnsi="仿宋" w:eastAsia="仿宋"/>
                <w:sz w:val="24"/>
                <w:szCs w:val="24"/>
              </w:rPr>
            </w:pPr>
          </w:p>
        </w:tc>
        <w:tc>
          <w:tcPr>
            <w:tcW w:w="1273" w:type="dxa"/>
            <w:gridSpan w:val="2"/>
            <w:vAlign w:val="center"/>
          </w:tcPr>
          <w:p>
            <w:pPr>
              <w:spacing w:line="360" w:lineRule="auto"/>
              <w:rPr>
                <w:rFonts w:ascii="仿宋" w:hAnsi="仿宋" w:eastAsia="仿宋"/>
                <w:sz w:val="24"/>
                <w:szCs w:val="24"/>
              </w:rPr>
            </w:pPr>
          </w:p>
        </w:tc>
        <w:tc>
          <w:tcPr>
            <w:tcW w:w="2001" w:type="dxa"/>
            <w:gridSpan w:val="2"/>
            <w:vAlign w:val="center"/>
          </w:tcPr>
          <w:p>
            <w:pPr>
              <w:spacing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vAlign w:val="center"/>
          </w:tcPr>
          <w:p>
            <w:pPr>
              <w:spacing w:line="360" w:lineRule="auto"/>
              <w:rPr>
                <w:rFonts w:ascii="仿宋" w:hAnsi="仿宋" w:eastAsia="仿宋"/>
                <w:sz w:val="24"/>
                <w:szCs w:val="24"/>
              </w:rPr>
            </w:pPr>
          </w:p>
        </w:tc>
        <w:tc>
          <w:tcPr>
            <w:tcW w:w="1559" w:type="dxa"/>
            <w:gridSpan w:val="2"/>
            <w:vAlign w:val="center"/>
          </w:tcPr>
          <w:p>
            <w:pPr>
              <w:spacing w:line="360" w:lineRule="auto"/>
              <w:rPr>
                <w:rFonts w:ascii="仿宋" w:hAnsi="仿宋" w:eastAsia="仿宋"/>
                <w:sz w:val="24"/>
                <w:szCs w:val="24"/>
              </w:rPr>
            </w:pPr>
          </w:p>
        </w:tc>
        <w:tc>
          <w:tcPr>
            <w:tcW w:w="1561" w:type="dxa"/>
            <w:vAlign w:val="center"/>
          </w:tcPr>
          <w:p>
            <w:pPr>
              <w:spacing w:line="360" w:lineRule="auto"/>
              <w:rPr>
                <w:rFonts w:ascii="仿宋" w:hAnsi="仿宋" w:eastAsia="仿宋"/>
                <w:sz w:val="24"/>
                <w:szCs w:val="24"/>
              </w:rPr>
            </w:pPr>
          </w:p>
        </w:tc>
        <w:tc>
          <w:tcPr>
            <w:tcW w:w="1135" w:type="dxa"/>
            <w:vAlign w:val="center"/>
          </w:tcPr>
          <w:p>
            <w:pPr>
              <w:spacing w:line="360" w:lineRule="auto"/>
              <w:rPr>
                <w:rFonts w:ascii="仿宋" w:hAnsi="仿宋" w:eastAsia="仿宋"/>
                <w:sz w:val="24"/>
                <w:szCs w:val="24"/>
              </w:rPr>
            </w:pPr>
          </w:p>
        </w:tc>
        <w:tc>
          <w:tcPr>
            <w:tcW w:w="1263" w:type="dxa"/>
            <w:gridSpan w:val="3"/>
            <w:vAlign w:val="center"/>
          </w:tcPr>
          <w:p>
            <w:pPr>
              <w:spacing w:line="360" w:lineRule="auto"/>
              <w:rPr>
                <w:rFonts w:ascii="仿宋" w:hAnsi="仿宋" w:eastAsia="仿宋"/>
                <w:sz w:val="24"/>
                <w:szCs w:val="24"/>
              </w:rPr>
            </w:pPr>
          </w:p>
        </w:tc>
        <w:tc>
          <w:tcPr>
            <w:tcW w:w="1273" w:type="dxa"/>
            <w:gridSpan w:val="2"/>
            <w:vAlign w:val="center"/>
          </w:tcPr>
          <w:p>
            <w:pPr>
              <w:spacing w:line="360" w:lineRule="auto"/>
              <w:rPr>
                <w:rFonts w:ascii="仿宋" w:hAnsi="仿宋" w:eastAsia="仿宋"/>
                <w:sz w:val="24"/>
                <w:szCs w:val="24"/>
              </w:rPr>
            </w:pPr>
          </w:p>
        </w:tc>
        <w:tc>
          <w:tcPr>
            <w:tcW w:w="2001" w:type="dxa"/>
            <w:gridSpan w:val="2"/>
            <w:vAlign w:val="center"/>
          </w:tcPr>
          <w:p>
            <w:pPr>
              <w:spacing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vAlign w:val="center"/>
          </w:tcPr>
          <w:p>
            <w:pPr>
              <w:spacing w:line="360" w:lineRule="auto"/>
              <w:rPr>
                <w:rFonts w:ascii="仿宋" w:hAnsi="仿宋" w:eastAsia="仿宋"/>
                <w:sz w:val="24"/>
                <w:szCs w:val="24"/>
              </w:rPr>
            </w:pPr>
          </w:p>
        </w:tc>
        <w:tc>
          <w:tcPr>
            <w:tcW w:w="1559" w:type="dxa"/>
            <w:gridSpan w:val="2"/>
            <w:vAlign w:val="center"/>
          </w:tcPr>
          <w:p>
            <w:pPr>
              <w:spacing w:line="360" w:lineRule="auto"/>
              <w:rPr>
                <w:rFonts w:ascii="仿宋" w:hAnsi="仿宋" w:eastAsia="仿宋"/>
                <w:sz w:val="24"/>
                <w:szCs w:val="24"/>
              </w:rPr>
            </w:pPr>
          </w:p>
        </w:tc>
        <w:tc>
          <w:tcPr>
            <w:tcW w:w="1561" w:type="dxa"/>
            <w:vAlign w:val="center"/>
          </w:tcPr>
          <w:p>
            <w:pPr>
              <w:spacing w:line="360" w:lineRule="auto"/>
              <w:rPr>
                <w:rFonts w:ascii="仿宋" w:hAnsi="仿宋" w:eastAsia="仿宋"/>
                <w:sz w:val="24"/>
                <w:szCs w:val="24"/>
              </w:rPr>
            </w:pPr>
          </w:p>
        </w:tc>
        <w:tc>
          <w:tcPr>
            <w:tcW w:w="1135" w:type="dxa"/>
            <w:vAlign w:val="center"/>
          </w:tcPr>
          <w:p>
            <w:pPr>
              <w:spacing w:line="360" w:lineRule="auto"/>
              <w:rPr>
                <w:rFonts w:ascii="仿宋" w:hAnsi="仿宋" w:eastAsia="仿宋"/>
                <w:sz w:val="24"/>
                <w:szCs w:val="24"/>
              </w:rPr>
            </w:pPr>
          </w:p>
        </w:tc>
        <w:tc>
          <w:tcPr>
            <w:tcW w:w="1263" w:type="dxa"/>
            <w:gridSpan w:val="3"/>
            <w:vAlign w:val="center"/>
          </w:tcPr>
          <w:p>
            <w:pPr>
              <w:spacing w:line="360" w:lineRule="auto"/>
              <w:rPr>
                <w:rFonts w:ascii="仿宋" w:hAnsi="仿宋" w:eastAsia="仿宋"/>
                <w:sz w:val="24"/>
                <w:szCs w:val="24"/>
              </w:rPr>
            </w:pPr>
          </w:p>
        </w:tc>
        <w:tc>
          <w:tcPr>
            <w:tcW w:w="1273" w:type="dxa"/>
            <w:gridSpan w:val="2"/>
            <w:vAlign w:val="center"/>
          </w:tcPr>
          <w:p>
            <w:pPr>
              <w:spacing w:line="360" w:lineRule="auto"/>
              <w:rPr>
                <w:rFonts w:ascii="仿宋" w:hAnsi="仿宋" w:eastAsia="仿宋"/>
                <w:sz w:val="24"/>
                <w:szCs w:val="24"/>
              </w:rPr>
            </w:pPr>
          </w:p>
        </w:tc>
        <w:tc>
          <w:tcPr>
            <w:tcW w:w="2001" w:type="dxa"/>
            <w:gridSpan w:val="2"/>
            <w:vAlign w:val="center"/>
          </w:tcPr>
          <w:p>
            <w:pPr>
              <w:spacing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continue"/>
            <w:vAlign w:val="center"/>
          </w:tcPr>
          <w:p>
            <w:pPr>
              <w:spacing w:line="360" w:lineRule="auto"/>
              <w:rPr>
                <w:rFonts w:ascii="仿宋" w:hAnsi="仿宋" w:eastAsia="仿宋"/>
                <w:sz w:val="24"/>
                <w:szCs w:val="24"/>
              </w:rPr>
            </w:pPr>
          </w:p>
        </w:tc>
        <w:tc>
          <w:tcPr>
            <w:tcW w:w="1559" w:type="dxa"/>
            <w:gridSpan w:val="2"/>
            <w:vAlign w:val="center"/>
          </w:tcPr>
          <w:p>
            <w:pPr>
              <w:spacing w:line="360" w:lineRule="auto"/>
              <w:rPr>
                <w:rFonts w:ascii="仿宋" w:hAnsi="仿宋" w:eastAsia="仿宋"/>
                <w:sz w:val="24"/>
                <w:szCs w:val="24"/>
              </w:rPr>
            </w:pPr>
          </w:p>
        </w:tc>
        <w:tc>
          <w:tcPr>
            <w:tcW w:w="1561" w:type="dxa"/>
            <w:vAlign w:val="center"/>
          </w:tcPr>
          <w:p>
            <w:pPr>
              <w:spacing w:line="360" w:lineRule="auto"/>
              <w:rPr>
                <w:rFonts w:ascii="仿宋" w:hAnsi="仿宋" w:eastAsia="仿宋"/>
                <w:sz w:val="24"/>
                <w:szCs w:val="24"/>
              </w:rPr>
            </w:pPr>
          </w:p>
        </w:tc>
        <w:tc>
          <w:tcPr>
            <w:tcW w:w="1135" w:type="dxa"/>
            <w:vAlign w:val="center"/>
          </w:tcPr>
          <w:p>
            <w:pPr>
              <w:spacing w:line="360" w:lineRule="auto"/>
              <w:rPr>
                <w:rFonts w:ascii="仿宋" w:hAnsi="仿宋" w:eastAsia="仿宋"/>
                <w:sz w:val="24"/>
                <w:szCs w:val="24"/>
              </w:rPr>
            </w:pPr>
          </w:p>
        </w:tc>
        <w:tc>
          <w:tcPr>
            <w:tcW w:w="1263" w:type="dxa"/>
            <w:gridSpan w:val="3"/>
            <w:vAlign w:val="center"/>
          </w:tcPr>
          <w:p>
            <w:pPr>
              <w:spacing w:line="360" w:lineRule="auto"/>
              <w:rPr>
                <w:rFonts w:ascii="仿宋" w:hAnsi="仿宋" w:eastAsia="仿宋"/>
                <w:sz w:val="24"/>
                <w:szCs w:val="24"/>
              </w:rPr>
            </w:pPr>
          </w:p>
        </w:tc>
        <w:tc>
          <w:tcPr>
            <w:tcW w:w="1273" w:type="dxa"/>
            <w:gridSpan w:val="2"/>
            <w:vAlign w:val="center"/>
          </w:tcPr>
          <w:p>
            <w:pPr>
              <w:spacing w:line="360" w:lineRule="auto"/>
              <w:rPr>
                <w:rFonts w:ascii="仿宋" w:hAnsi="仿宋" w:eastAsia="仿宋"/>
                <w:sz w:val="24"/>
                <w:szCs w:val="24"/>
              </w:rPr>
            </w:pPr>
          </w:p>
        </w:tc>
        <w:tc>
          <w:tcPr>
            <w:tcW w:w="2001" w:type="dxa"/>
            <w:gridSpan w:val="2"/>
            <w:vAlign w:val="center"/>
          </w:tcPr>
          <w:p>
            <w:pPr>
              <w:spacing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15" w:type="dxa"/>
            <w:vMerge w:val="restart"/>
            <w:vAlign w:val="center"/>
          </w:tcPr>
          <w:p>
            <w:pPr>
              <w:spacing w:line="360" w:lineRule="auto"/>
              <w:rPr>
                <w:rFonts w:ascii="仿宋" w:hAnsi="仿宋" w:eastAsia="仿宋"/>
                <w:sz w:val="24"/>
                <w:szCs w:val="24"/>
              </w:rPr>
            </w:pPr>
            <w:r>
              <w:rPr>
                <w:rFonts w:hint="eastAsia" w:ascii="仿宋" w:hAnsi="仿宋" w:eastAsia="仿宋"/>
                <w:sz w:val="24"/>
                <w:szCs w:val="24"/>
              </w:rPr>
              <w:t>其它</w:t>
            </w:r>
          </w:p>
        </w:tc>
        <w:tc>
          <w:tcPr>
            <w:tcW w:w="5106" w:type="dxa"/>
            <w:gridSpan w:val="5"/>
            <w:vAlign w:val="center"/>
          </w:tcPr>
          <w:p>
            <w:pPr>
              <w:spacing w:line="360" w:lineRule="auto"/>
              <w:rPr>
                <w:rFonts w:ascii="仿宋" w:hAnsi="仿宋" w:eastAsia="仿宋"/>
                <w:sz w:val="24"/>
                <w:szCs w:val="24"/>
              </w:rPr>
            </w:pPr>
            <w:r>
              <w:rPr>
                <w:rFonts w:hint="eastAsia" w:ascii="仿宋" w:hAnsi="仿宋" w:eastAsia="仿宋"/>
                <w:sz w:val="24"/>
                <w:szCs w:val="24"/>
              </w:rPr>
              <w:t>近3年完成及正在执行的合同中发生的由于供应商违约或部分违约而引起诉讼和受到索赔的案件具体情况及结果（须如实填写，若对此进行隐瞒，尔后又被采购人或采购代理机构发现，或被它人举证成立，其响应资格将被取消）。</w:t>
            </w:r>
          </w:p>
        </w:tc>
        <w:tc>
          <w:tcPr>
            <w:tcW w:w="3686" w:type="dxa"/>
            <w:gridSpan w:val="6"/>
            <w:vAlign w:val="center"/>
          </w:tcPr>
          <w:p>
            <w:pPr>
              <w:spacing w:line="360" w:lineRule="auto"/>
              <w:rPr>
                <w:rFonts w:ascii="仿宋" w:hAnsi="仿宋" w:eastAsia="仿宋"/>
                <w:sz w:val="24"/>
                <w:szCs w:val="24"/>
              </w:rPr>
            </w:pPr>
            <w:r>
              <w:rPr>
                <w:rFonts w:hint="eastAsia" w:ascii="仿宋" w:hAnsi="仿宋" w:eastAsia="仿宋"/>
                <w:sz w:val="24"/>
                <w:szCs w:val="24"/>
              </w:rPr>
              <w:t>如有名称变更（非因该单位出现了与资格预审（如果经此程序）时的营业性质的根本改变以至不再满足本次磋商的要求），说明原名称因何种原因变更为现名称，并提供由工商管理部门出具的变更证明文件。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815" w:type="dxa"/>
            <w:vMerge w:val="continue"/>
            <w:vAlign w:val="center"/>
          </w:tcPr>
          <w:p>
            <w:pPr>
              <w:spacing w:line="360" w:lineRule="auto"/>
              <w:rPr>
                <w:rFonts w:ascii="仿宋" w:hAnsi="仿宋" w:eastAsia="仿宋"/>
                <w:sz w:val="24"/>
                <w:szCs w:val="24"/>
              </w:rPr>
            </w:pPr>
          </w:p>
        </w:tc>
        <w:tc>
          <w:tcPr>
            <w:tcW w:w="5106" w:type="dxa"/>
            <w:gridSpan w:val="5"/>
            <w:vAlign w:val="center"/>
          </w:tcPr>
          <w:p>
            <w:pPr>
              <w:spacing w:line="360" w:lineRule="auto"/>
              <w:rPr>
                <w:rFonts w:ascii="仿宋" w:hAnsi="仿宋" w:eastAsia="仿宋"/>
                <w:sz w:val="24"/>
                <w:szCs w:val="24"/>
              </w:rPr>
            </w:pPr>
          </w:p>
        </w:tc>
        <w:tc>
          <w:tcPr>
            <w:tcW w:w="3686" w:type="dxa"/>
            <w:gridSpan w:val="6"/>
            <w:vAlign w:val="center"/>
          </w:tcPr>
          <w:p>
            <w:pPr>
              <w:spacing w:line="360" w:lineRule="auto"/>
              <w:rPr>
                <w:rFonts w:ascii="仿宋" w:hAnsi="仿宋" w:eastAsia="仿宋"/>
                <w:sz w:val="24"/>
                <w:szCs w:val="24"/>
              </w:rPr>
            </w:pPr>
          </w:p>
        </w:tc>
      </w:tr>
    </w:tbl>
    <w:p>
      <w:pPr>
        <w:widowControl/>
        <w:jc w:val="left"/>
        <w:rPr>
          <w:rFonts w:ascii="仿宋" w:hAnsi="仿宋" w:eastAsia="仿宋"/>
          <w:sz w:val="28"/>
          <w:szCs w:val="28"/>
        </w:rPr>
      </w:pPr>
      <w:r>
        <w:rPr>
          <w:rFonts w:ascii="仿宋" w:hAnsi="仿宋" w:eastAsia="仿宋"/>
          <w:sz w:val="28"/>
          <w:szCs w:val="28"/>
        </w:rPr>
        <w:br w:type="page"/>
      </w:r>
    </w:p>
    <w:p>
      <w:pPr>
        <w:widowControl/>
        <w:shd w:val="clear" w:color="auto" w:fill="FFFFFF"/>
        <w:spacing w:line="360" w:lineRule="auto"/>
        <w:jc w:val="left"/>
        <w:rPr>
          <w:rFonts w:ascii="仿宋" w:hAnsi="仿宋" w:eastAsia="仿宋" w:cs="仿宋"/>
          <w:b/>
          <w:sz w:val="28"/>
          <w:szCs w:val="28"/>
        </w:rPr>
      </w:pPr>
      <w:r>
        <w:rPr>
          <w:rFonts w:ascii="仿宋" w:hAnsi="仿宋" w:eastAsia="仿宋" w:cs="仿宋"/>
          <w:b/>
          <w:sz w:val="28"/>
          <w:szCs w:val="28"/>
        </w:rPr>
        <w:t>附件</w:t>
      </w:r>
      <w:r>
        <w:rPr>
          <w:rFonts w:hint="eastAsia" w:ascii="仿宋" w:hAnsi="仿宋" w:eastAsia="仿宋" w:cs="仿宋"/>
          <w:b/>
          <w:sz w:val="28"/>
          <w:szCs w:val="28"/>
        </w:rPr>
        <w:t>6：商务部分（技术部分）正负偏离表</w:t>
      </w:r>
    </w:p>
    <w:p>
      <w:pPr>
        <w:spacing w:line="360" w:lineRule="auto"/>
        <w:jc w:val="center"/>
        <w:rPr>
          <w:rFonts w:ascii="仿宋" w:hAnsi="仿宋" w:eastAsia="仿宋"/>
          <w:b/>
          <w:sz w:val="28"/>
          <w:szCs w:val="28"/>
        </w:rPr>
      </w:pPr>
      <w:r>
        <w:rPr>
          <w:rFonts w:hint="eastAsia" w:ascii="仿宋" w:hAnsi="仿宋" w:eastAsia="仿宋"/>
          <w:b/>
          <w:sz w:val="28"/>
          <w:szCs w:val="28"/>
        </w:rPr>
        <w:t>商务部分（技术部分）正负偏离表</w:t>
      </w:r>
    </w:p>
    <w:p>
      <w:pPr>
        <w:spacing w:line="360" w:lineRule="auto"/>
        <w:jc w:val="center"/>
        <w:rPr>
          <w:rFonts w:ascii="仿宋" w:hAnsi="仿宋" w:eastAsia="仿宋"/>
          <w:sz w:val="28"/>
          <w:szCs w:val="28"/>
        </w:rPr>
      </w:pPr>
      <w:r>
        <w:rPr>
          <w:rFonts w:hint="eastAsia" w:ascii="仿宋" w:hAnsi="仿宋" w:eastAsia="仿宋"/>
          <w:sz w:val="28"/>
          <w:szCs w:val="28"/>
        </w:rPr>
        <w:t>（由供应商据实提交，表格不够自行添加）</w:t>
      </w:r>
    </w:p>
    <w:tbl>
      <w:tblPr>
        <w:tblStyle w:val="5"/>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586"/>
        <w:gridCol w:w="2706"/>
        <w:gridCol w:w="272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49" w:type="dxa"/>
            <w:vAlign w:val="center"/>
          </w:tcPr>
          <w:p>
            <w:pPr>
              <w:spacing w:line="360" w:lineRule="auto"/>
              <w:jc w:val="center"/>
              <w:rPr>
                <w:rFonts w:ascii="仿宋" w:hAnsi="仿宋" w:eastAsia="仿宋"/>
                <w:sz w:val="28"/>
                <w:szCs w:val="28"/>
              </w:rPr>
            </w:pPr>
            <w:r>
              <w:rPr>
                <w:rFonts w:hint="eastAsia" w:ascii="仿宋" w:hAnsi="仿宋" w:eastAsia="仿宋"/>
                <w:sz w:val="28"/>
                <w:szCs w:val="28"/>
              </w:rPr>
              <w:t>序号</w:t>
            </w:r>
          </w:p>
        </w:tc>
        <w:tc>
          <w:tcPr>
            <w:tcW w:w="1586" w:type="dxa"/>
            <w:vAlign w:val="center"/>
          </w:tcPr>
          <w:p>
            <w:pPr>
              <w:spacing w:line="360" w:lineRule="auto"/>
              <w:jc w:val="center"/>
              <w:rPr>
                <w:rFonts w:ascii="仿宋" w:hAnsi="仿宋" w:eastAsia="仿宋"/>
                <w:sz w:val="28"/>
                <w:szCs w:val="28"/>
              </w:rPr>
            </w:pPr>
            <w:r>
              <w:rPr>
                <w:rFonts w:hint="eastAsia" w:ascii="仿宋" w:hAnsi="仿宋" w:eastAsia="仿宋"/>
                <w:sz w:val="28"/>
                <w:szCs w:val="28"/>
              </w:rPr>
              <w:t>货物或服务名称</w:t>
            </w:r>
          </w:p>
        </w:tc>
        <w:tc>
          <w:tcPr>
            <w:tcW w:w="2706" w:type="dxa"/>
            <w:vAlign w:val="center"/>
          </w:tcPr>
          <w:p>
            <w:pPr>
              <w:spacing w:line="360" w:lineRule="auto"/>
              <w:jc w:val="center"/>
              <w:rPr>
                <w:rFonts w:ascii="仿宋" w:hAnsi="仿宋" w:eastAsia="仿宋"/>
                <w:sz w:val="28"/>
                <w:szCs w:val="28"/>
              </w:rPr>
            </w:pPr>
            <w:r>
              <w:rPr>
                <w:rFonts w:hint="eastAsia" w:ascii="仿宋" w:hAnsi="仿宋" w:eastAsia="仿宋"/>
                <w:sz w:val="28"/>
                <w:szCs w:val="28"/>
              </w:rPr>
              <w:t>招标文件要求</w:t>
            </w:r>
          </w:p>
        </w:tc>
        <w:tc>
          <w:tcPr>
            <w:tcW w:w="2720" w:type="dxa"/>
            <w:vAlign w:val="center"/>
          </w:tcPr>
          <w:p>
            <w:pPr>
              <w:spacing w:line="360" w:lineRule="auto"/>
              <w:jc w:val="center"/>
              <w:rPr>
                <w:rFonts w:ascii="仿宋" w:hAnsi="仿宋" w:eastAsia="仿宋"/>
                <w:sz w:val="28"/>
                <w:szCs w:val="28"/>
              </w:rPr>
            </w:pPr>
            <w:r>
              <w:rPr>
                <w:rFonts w:hint="eastAsia" w:ascii="仿宋" w:hAnsi="仿宋" w:eastAsia="仿宋"/>
                <w:sz w:val="28"/>
                <w:szCs w:val="28"/>
              </w:rPr>
              <w:t>响应文件响应情况</w:t>
            </w:r>
          </w:p>
        </w:tc>
        <w:tc>
          <w:tcPr>
            <w:tcW w:w="1417" w:type="dxa"/>
            <w:vAlign w:val="center"/>
          </w:tcPr>
          <w:p>
            <w:pPr>
              <w:spacing w:line="360" w:lineRule="auto"/>
              <w:jc w:val="center"/>
              <w:rPr>
                <w:rFonts w:ascii="仿宋" w:hAnsi="仿宋" w:eastAsia="仿宋"/>
                <w:sz w:val="28"/>
                <w:szCs w:val="28"/>
              </w:rPr>
            </w:pPr>
            <w:r>
              <w:rPr>
                <w:rFonts w:hint="eastAsia" w:ascii="仿宋" w:hAnsi="仿宋" w:eastAsia="仿宋"/>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49" w:type="dxa"/>
          </w:tcPr>
          <w:p>
            <w:pPr>
              <w:spacing w:line="360" w:lineRule="auto"/>
              <w:jc w:val="center"/>
              <w:rPr>
                <w:rFonts w:ascii="仿宋" w:hAnsi="仿宋" w:eastAsia="仿宋"/>
                <w:sz w:val="28"/>
                <w:szCs w:val="28"/>
              </w:rPr>
            </w:pPr>
            <w:r>
              <w:rPr>
                <w:rFonts w:hint="eastAsia" w:ascii="仿宋" w:hAnsi="仿宋" w:eastAsia="仿宋"/>
                <w:sz w:val="28"/>
                <w:szCs w:val="28"/>
              </w:rPr>
              <w:t>1</w:t>
            </w:r>
          </w:p>
        </w:tc>
        <w:tc>
          <w:tcPr>
            <w:tcW w:w="1586" w:type="dxa"/>
            <w:vAlign w:val="center"/>
          </w:tcPr>
          <w:p>
            <w:pPr>
              <w:spacing w:line="360" w:lineRule="auto"/>
              <w:rPr>
                <w:rFonts w:ascii="仿宋" w:hAnsi="仿宋" w:eastAsia="仿宋"/>
                <w:sz w:val="28"/>
                <w:szCs w:val="28"/>
              </w:rPr>
            </w:pPr>
          </w:p>
        </w:tc>
        <w:tc>
          <w:tcPr>
            <w:tcW w:w="2706" w:type="dxa"/>
            <w:vAlign w:val="center"/>
          </w:tcPr>
          <w:p>
            <w:pPr>
              <w:spacing w:line="360" w:lineRule="auto"/>
              <w:rPr>
                <w:rFonts w:ascii="仿宋" w:hAnsi="仿宋" w:eastAsia="仿宋"/>
                <w:sz w:val="28"/>
                <w:szCs w:val="28"/>
              </w:rPr>
            </w:pPr>
          </w:p>
        </w:tc>
        <w:tc>
          <w:tcPr>
            <w:tcW w:w="2720" w:type="dxa"/>
            <w:vAlign w:val="center"/>
          </w:tcPr>
          <w:p>
            <w:pPr>
              <w:spacing w:line="360" w:lineRule="auto"/>
              <w:rPr>
                <w:rFonts w:ascii="仿宋" w:hAnsi="仿宋" w:eastAsia="仿宋"/>
                <w:sz w:val="28"/>
                <w:szCs w:val="28"/>
              </w:rPr>
            </w:pPr>
          </w:p>
        </w:tc>
        <w:tc>
          <w:tcPr>
            <w:tcW w:w="1417" w:type="dxa"/>
          </w:tcPr>
          <w:p>
            <w:pPr>
              <w:spacing w:line="360" w:lineRule="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49" w:type="dxa"/>
          </w:tcPr>
          <w:p>
            <w:pPr>
              <w:spacing w:line="360" w:lineRule="auto"/>
              <w:jc w:val="center"/>
              <w:rPr>
                <w:rFonts w:ascii="仿宋" w:hAnsi="仿宋" w:eastAsia="仿宋"/>
                <w:sz w:val="28"/>
                <w:szCs w:val="28"/>
              </w:rPr>
            </w:pPr>
            <w:r>
              <w:rPr>
                <w:rFonts w:hint="eastAsia" w:ascii="仿宋" w:hAnsi="仿宋" w:eastAsia="仿宋"/>
                <w:sz w:val="28"/>
                <w:szCs w:val="28"/>
              </w:rPr>
              <w:t>2</w:t>
            </w:r>
          </w:p>
        </w:tc>
        <w:tc>
          <w:tcPr>
            <w:tcW w:w="1586" w:type="dxa"/>
            <w:vAlign w:val="center"/>
          </w:tcPr>
          <w:p>
            <w:pPr>
              <w:spacing w:line="360" w:lineRule="auto"/>
              <w:rPr>
                <w:rFonts w:ascii="仿宋" w:hAnsi="仿宋" w:eastAsia="仿宋"/>
                <w:sz w:val="28"/>
                <w:szCs w:val="28"/>
              </w:rPr>
            </w:pPr>
          </w:p>
        </w:tc>
        <w:tc>
          <w:tcPr>
            <w:tcW w:w="2706" w:type="dxa"/>
            <w:vAlign w:val="center"/>
          </w:tcPr>
          <w:p>
            <w:pPr>
              <w:spacing w:line="360" w:lineRule="auto"/>
              <w:rPr>
                <w:rFonts w:ascii="仿宋" w:hAnsi="仿宋" w:eastAsia="仿宋"/>
                <w:sz w:val="28"/>
                <w:szCs w:val="28"/>
              </w:rPr>
            </w:pPr>
          </w:p>
        </w:tc>
        <w:tc>
          <w:tcPr>
            <w:tcW w:w="2720" w:type="dxa"/>
            <w:vAlign w:val="center"/>
          </w:tcPr>
          <w:p>
            <w:pPr>
              <w:spacing w:line="360" w:lineRule="auto"/>
              <w:rPr>
                <w:rFonts w:ascii="仿宋" w:hAnsi="仿宋" w:eastAsia="仿宋"/>
                <w:sz w:val="28"/>
                <w:szCs w:val="28"/>
              </w:rPr>
            </w:pPr>
          </w:p>
        </w:tc>
        <w:tc>
          <w:tcPr>
            <w:tcW w:w="1417" w:type="dxa"/>
          </w:tcPr>
          <w:p>
            <w:pPr>
              <w:spacing w:line="360" w:lineRule="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9" w:type="dxa"/>
          </w:tcPr>
          <w:p>
            <w:pPr>
              <w:spacing w:line="360" w:lineRule="auto"/>
              <w:jc w:val="center"/>
              <w:rPr>
                <w:rFonts w:ascii="仿宋" w:hAnsi="仿宋" w:eastAsia="仿宋"/>
                <w:sz w:val="28"/>
                <w:szCs w:val="28"/>
              </w:rPr>
            </w:pPr>
            <w:r>
              <w:rPr>
                <w:rFonts w:hint="eastAsia" w:ascii="仿宋" w:hAnsi="仿宋" w:eastAsia="仿宋"/>
                <w:sz w:val="28"/>
                <w:szCs w:val="28"/>
              </w:rPr>
              <w:t>3</w:t>
            </w:r>
          </w:p>
        </w:tc>
        <w:tc>
          <w:tcPr>
            <w:tcW w:w="1586" w:type="dxa"/>
            <w:vAlign w:val="center"/>
          </w:tcPr>
          <w:p>
            <w:pPr>
              <w:spacing w:line="360" w:lineRule="auto"/>
              <w:rPr>
                <w:rFonts w:ascii="仿宋" w:hAnsi="仿宋" w:eastAsia="仿宋"/>
                <w:sz w:val="28"/>
                <w:szCs w:val="28"/>
              </w:rPr>
            </w:pPr>
          </w:p>
        </w:tc>
        <w:tc>
          <w:tcPr>
            <w:tcW w:w="2706" w:type="dxa"/>
            <w:vAlign w:val="center"/>
          </w:tcPr>
          <w:p>
            <w:pPr>
              <w:spacing w:line="360" w:lineRule="auto"/>
              <w:rPr>
                <w:rFonts w:ascii="仿宋" w:hAnsi="仿宋" w:eastAsia="仿宋"/>
                <w:sz w:val="28"/>
                <w:szCs w:val="28"/>
              </w:rPr>
            </w:pPr>
          </w:p>
        </w:tc>
        <w:tc>
          <w:tcPr>
            <w:tcW w:w="2720" w:type="dxa"/>
            <w:vAlign w:val="center"/>
          </w:tcPr>
          <w:p>
            <w:pPr>
              <w:spacing w:line="360" w:lineRule="auto"/>
              <w:rPr>
                <w:rFonts w:ascii="仿宋" w:hAnsi="仿宋" w:eastAsia="仿宋"/>
                <w:sz w:val="28"/>
                <w:szCs w:val="28"/>
              </w:rPr>
            </w:pPr>
          </w:p>
        </w:tc>
        <w:tc>
          <w:tcPr>
            <w:tcW w:w="1417" w:type="dxa"/>
          </w:tcPr>
          <w:p>
            <w:pPr>
              <w:spacing w:line="360" w:lineRule="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49" w:type="dxa"/>
          </w:tcPr>
          <w:p>
            <w:pPr>
              <w:spacing w:line="360" w:lineRule="auto"/>
              <w:jc w:val="center"/>
              <w:rPr>
                <w:rFonts w:ascii="仿宋" w:hAnsi="仿宋" w:eastAsia="仿宋"/>
                <w:sz w:val="28"/>
                <w:szCs w:val="28"/>
              </w:rPr>
            </w:pPr>
          </w:p>
        </w:tc>
        <w:tc>
          <w:tcPr>
            <w:tcW w:w="1586" w:type="dxa"/>
            <w:vAlign w:val="center"/>
          </w:tcPr>
          <w:p>
            <w:pPr>
              <w:spacing w:line="360" w:lineRule="auto"/>
              <w:rPr>
                <w:rFonts w:ascii="仿宋" w:hAnsi="仿宋" w:eastAsia="仿宋"/>
                <w:sz w:val="28"/>
                <w:szCs w:val="28"/>
              </w:rPr>
            </w:pPr>
          </w:p>
        </w:tc>
        <w:tc>
          <w:tcPr>
            <w:tcW w:w="2706" w:type="dxa"/>
            <w:vAlign w:val="center"/>
          </w:tcPr>
          <w:p>
            <w:pPr>
              <w:spacing w:line="360" w:lineRule="auto"/>
              <w:rPr>
                <w:rFonts w:ascii="仿宋" w:hAnsi="仿宋" w:eastAsia="仿宋"/>
                <w:sz w:val="28"/>
                <w:szCs w:val="28"/>
              </w:rPr>
            </w:pPr>
          </w:p>
        </w:tc>
        <w:tc>
          <w:tcPr>
            <w:tcW w:w="2720" w:type="dxa"/>
            <w:vAlign w:val="center"/>
          </w:tcPr>
          <w:p>
            <w:pPr>
              <w:spacing w:line="360" w:lineRule="auto"/>
              <w:rPr>
                <w:rFonts w:ascii="仿宋" w:hAnsi="仿宋" w:eastAsia="仿宋"/>
                <w:sz w:val="28"/>
                <w:szCs w:val="28"/>
              </w:rPr>
            </w:pPr>
          </w:p>
        </w:tc>
        <w:tc>
          <w:tcPr>
            <w:tcW w:w="1417" w:type="dxa"/>
          </w:tcPr>
          <w:p>
            <w:pPr>
              <w:spacing w:line="360" w:lineRule="auto"/>
              <w:rPr>
                <w:rFonts w:ascii="仿宋" w:hAnsi="仿宋" w:eastAsia="仿宋"/>
                <w:sz w:val="28"/>
                <w:szCs w:val="28"/>
              </w:rPr>
            </w:pPr>
          </w:p>
        </w:tc>
      </w:tr>
    </w:tbl>
    <w:p>
      <w:pPr>
        <w:spacing w:line="360" w:lineRule="auto"/>
        <w:rPr>
          <w:rFonts w:ascii="仿宋" w:hAnsi="仿宋" w:eastAsia="仿宋"/>
          <w:sz w:val="28"/>
          <w:szCs w:val="28"/>
        </w:rPr>
      </w:pPr>
      <w:r>
        <w:rPr>
          <w:rFonts w:hint="eastAsia" w:ascii="仿宋" w:hAnsi="仿宋" w:eastAsia="仿宋"/>
          <w:sz w:val="28"/>
          <w:szCs w:val="28"/>
        </w:rPr>
        <w:t>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1.供应商提交的响应文件中与招标文件第三部分“项目需求说明”中的商务、技术部分的要求有不同时，应逐条填列在偏离表中，否则将认为供应商接受招标文件的所有要求。完全响应部分不填到。</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2.“偏离说明”一栏选择“正偏离”、“负偏离”进行填写。正偏离的确认和负偏离的是否相应招标文件，经三分之二评委认定。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3.供应商如果虚假响应，将承担被没收全额/部分响应保证金或被暂停参加采购人组织政府采购活动的风险。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4.供应商若提供其他增值服务，可以在表中自行据实填写。</w:t>
      </w:r>
    </w:p>
    <w:p>
      <w:pPr>
        <w:spacing w:line="360" w:lineRule="auto"/>
        <w:rPr>
          <w:rFonts w:ascii="仿宋" w:hAnsi="仿宋" w:eastAsia="仿宋"/>
          <w:sz w:val="28"/>
          <w:szCs w:val="28"/>
        </w:rPr>
      </w:pPr>
    </w:p>
    <w:p>
      <w:pPr>
        <w:spacing w:line="360" w:lineRule="auto"/>
        <w:rPr>
          <w:rFonts w:ascii="仿宋" w:hAnsi="仿宋" w:eastAsia="仿宋"/>
          <w:sz w:val="28"/>
          <w:szCs w:val="28"/>
        </w:rPr>
      </w:pPr>
    </w:p>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docPartObj>
        <w:docPartGallery w:val="AutoText"/>
      </w:docPartObj>
    </w:sdtPr>
    <w:sdtEndPr>
      <w:rPr>
        <w:rFonts w:ascii="仿宋" w:hAnsi="仿宋" w:eastAsia="仿宋"/>
        <w:sz w:val="21"/>
        <w:szCs w:val="21"/>
      </w:rPr>
    </w:sdtEndPr>
    <w:sdtContent>
      <w:sdt>
        <w:sdtPr>
          <w:rPr>
            <w:rFonts w:ascii="仿宋" w:hAnsi="仿宋" w:eastAsia="仿宋"/>
            <w:sz w:val="21"/>
            <w:szCs w:val="21"/>
          </w:rPr>
          <w:id w:val="98381352"/>
          <w:docPartObj>
            <w:docPartGallery w:val="AutoText"/>
          </w:docPartObj>
        </w:sdtPr>
        <w:sdtEndPr>
          <w:rPr>
            <w:rFonts w:ascii="仿宋" w:hAnsi="仿宋" w:eastAsia="仿宋"/>
            <w:sz w:val="21"/>
            <w:szCs w:val="21"/>
          </w:rPr>
        </w:sdtEndPr>
        <w:sdtContent>
          <w:p>
            <w:pPr>
              <w:pStyle w:val="3"/>
              <w:jc w:val="center"/>
              <w:rPr>
                <w:rFonts w:ascii="仿宋" w:hAnsi="仿宋" w:eastAsia="仿宋"/>
                <w:sz w:val="21"/>
                <w:szCs w:val="21"/>
              </w:rPr>
            </w:pPr>
            <w:r>
              <w:rPr>
                <w:rFonts w:ascii="仿宋" w:hAnsi="仿宋" w:eastAsia="仿宋"/>
                <w:sz w:val="21"/>
                <w:szCs w:val="21"/>
                <w:lang w:val="zh-CN"/>
              </w:rPr>
              <w:t xml:space="preserve"> </w:t>
            </w: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49</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49</w:t>
            </w:r>
            <w:r>
              <w:rPr>
                <w:rFonts w:ascii="仿宋" w:hAnsi="仿宋" w:eastAsia="仿宋"/>
                <w:bCs/>
                <w:sz w:val="21"/>
                <w:szCs w:val="21"/>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1F8969"/>
    <w:multiLevelType w:val="singleLevel"/>
    <w:tmpl w:val="BC1F8969"/>
    <w:lvl w:ilvl="0" w:tentative="0">
      <w:start w:val="1"/>
      <w:numFmt w:val="decimal"/>
      <w:lvlText w:val="(%1)"/>
      <w:lvlJc w:val="left"/>
      <w:pPr>
        <w:ind w:left="425" w:hanging="425"/>
      </w:pPr>
      <w:rPr>
        <w:rFonts w:hint="default"/>
      </w:rPr>
    </w:lvl>
  </w:abstractNum>
  <w:abstractNum w:abstractNumId="1">
    <w:nsid w:val="F28028C1"/>
    <w:multiLevelType w:val="singleLevel"/>
    <w:tmpl w:val="F28028C1"/>
    <w:lvl w:ilvl="0" w:tentative="0">
      <w:start w:val="1"/>
      <w:numFmt w:val="decimal"/>
      <w:lvlText w:val="(%1)"/>
      <w:lvlJc w:val="left"/>
      <w:pPr>
        <w:ind w:left="425" w:hanging="425"/>
      </w:pPr>
      <w:rPr>
        <w:rFonts w:hint="default"/>
      </w:rPr>
    </w:lvl>
  </w:abstractNum>
  <w:abstractNum w:abstractNumId="2">
    <w:nsid w:val="6799E6B8"/>
    <w:multiLevelType w:val="singleLevel"/>
    <w:tmpl w:val="6799E6B8"/>
    <w:lvl w:ilvl="0" w:tentative="0">
      <w:start w:val="1"/>
      <w:numFmt w:val="decimal"/>
      <w:lvlText w:val="(%1)"/>
      <w:lvlJc w:val="left"/>
      <w:pPr>
        <w:ind w:left="425" w:hanging="425"/>
      </w:pPr>
      <w:rPr>
        <w:rFonts w:hint="default"/>
      </w:rPr>
    </w:lvl>
  </w:abstractNum>
  <w:abstractNum w:abstractNumId="3">
    <w:nsid w:val="7ECA967C"/>
    <w:multiLevelType w:val="singleLevel"/>
    <w:tmpl w:val="7ECA967C"/>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31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F62"/>
    <w:rsid w:val="00013918"/>
    <w:rsid w:val="00036BEA"/>
    <w:rsid w:val="00055922"/>
    <w:rsid w:val="00063C87"/>
    <w:rsid w:val="00086D68"/>
    <w:rsid w:val="000E6F62"/>
    <w:rsid w:val="000F4D77"/>
    <w:rsid w:val="00166D48"/>
    <w:rsid w:val="001853E7"/>
    <w:rsid w:val="001860DC"/>
    <w:rsid w:val="001B11E9"/>
    <w:rsid w:val="001B40B6"/>
    <w:rsid w:val="001B7885"/>
    <w:rsid w:val="00202112"/>
    <w:rsid w:val="002273FD"/>
    <w:rsid w:val="002747B9"/>
    <w:rsid w:val="00285D50"/>
    <w:rsid w:val="002D014C"/>
    <w:rsid w:val="00324B9A"/>
    <w:rsid w:val="0036715D"/>
    <w:rsid w:val="00375B89"/>
    <w:rsid w:val="003A72B2"/>
    <w:rsid w:val="00407863"/>
    <w:rsid w:val="004164E4"/>
    <w:rsid w:val="00423225"/>
    <w:rsid w:val="00476F77"/>
    <w:rsid w:val="004A115E"/>
    <w:rsid w:val="004E3AB1"/>
    <w:rsid w:val="004E42DF"/>
    <w:rsid w:val="005201FA"/>
    <w:rsid w:val="005424AE"/>
    <w:rsid w:val="00546F31"/>
    <w:rsid w:val="00571081"/>
    <w:rsid w:val="00577F45"/>
    <w:rsid w:val="00591B9F"/>
    <w:rsid w:val="005A6FA6"/>
    <w:rsid w:val="005B0932"/>
    <w:rsid w:val="005F375E"/>
    <w:rsid w:val="005F5707"/>
    <w:rsid w:val="00621C2D"/>
    <w:rsid w:val="00622E05"/>
    <w:rsid w:val="00643D29"/>
    <w:rsid w:val="00687070"/>
    <w:rsid w:val="006B459C"/>
    <w:rsid w:val="006C5575"/>
    <w:rsid w:val="006D1996"/>
    <w:rsid w:val="007110F4"/>
    <w:rsid w:val="007244DE"/>
    <w:rsid w:val="007339D9"/>
    <w:rsid w:val="00766B5B"/>
    <w:rsid w:val="00770786"/>
    <w:rsid w:val="00770F07"/>
    <w:rsid w:val="007724B6"/>
    <w:rsid w:val="007B093B"/>
    <w:rsid w:val="007B1CB4"/>
    <w:rsid w:val="007B60F4"/>
    <w:rsid w:val="00801B1B"/>
    <w:rsid w:val="008276FC"/>
    <w:rsid w:val="008330D5"/>
    <w:rsid w:val="00876A9D"/>
    <w:rsid w:val="008C360B"/>
    <w:rsid w:val="00905A84"/>
    <w:rsid w:val="00945F3E"/>
    <w:rsid w:val="0097161D"/>
    <w:rsid w:val="009B348E"/>
    <w:rsid w:val="009B5CF0"/>
    <w:rsid w:val="009C69B8"/>
    <w:rsid w:val="009F6CF6"/>
    <w:rsid w:val="00A005C3"/>
    <w:rsid w:val="00A159DA"/>
    <w:rsid w:val="00A32BC0"/>
    <w:rsid w:val="00A77047"/>
    <w:rsid w:val="00A85EB1"/>
    <w:rsid w:val="00A960A5"/>
    <w:rsid w:val="00AA3856"/>
    <w:rsid w:val="00AA5C2F"/>
    <w:rsid w:val="00AD06E6"/>
    <w:rsid w:val="00B006CF"/>
    <w:rsid w:val="00B85201"/>
    <w:rsid w:val="00B96687"/>
    <w:rsid w:val="00BC355B"/>
    <w:rsid w:val="00BD086F"/>
    <w:rsid w:val="00C05CA8"/>
    <w:rsid w:val="00C2030A"/>
    <w:rsid w:val="00C35588"/>
    <w:rsid w:val="00C369CB"/>
    <w:rsid w:val="00C46DB2"/>
    <w:rsid w:val="00C50F2E"/>
    <w:rsid w:val="00C556B3"/>
    <w:rsid w:val="00C65550"/>
    <w:rsid w:val="00C76506"/>
    <w:rsid w:val="00C90CDB"/>
    <w:rsid w:val="00CE7AEA"/>
    <w:rsid w:val="00CF18D8"/>
    <w:rsid w:val="00D3420C"/>
    <w:rsid w:val="00D45E59"/>
    <w:rsid w:val="00D73179"/>
    <w:rsid w:val="00D9248C"/>
    <w:rsid w:val="00D93712"/>
    <w:rsid w:val="00DB734A"/>
    <w:rsid w:val="00DC2831"/>
    <w:rsid w:val="00DD7796"/>
    <w:rsid w:val="00E33F48"/>
    <w:rsid w:val="00E35B07"/>
    <w:rsid w:val="00E91405"/>
    <w:rsid w:val="00ED0C52"/>
    <w:rsid w:val="00ED1FC1"/>
    <w:rsid w:val="00ED43E6"/>
    <w:rsid w:val="00F0621B"/>
    <w:rsid w:val="00F24AE3"/>
    <w:rsid w:val="00F82743"/>
    <w:rsid w:val="00FD1210"/>
    <w:rsid w:val="00FE2F3B"/>
    <w:rsid w:val="00FF4E44"/>
    <w:rsid w:val="00FF6B75"/>
    <w:rsid w:val="22CE3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字符"/>
    <w:basedOn w:val="7"/>
    <w:link w:val="2"/>
    <w:uiPriority w:val="9"/>
    <w:rPr>
      <w:b/>
      <w:bCs/>
      <w:kern w:val="44"/>
      <w:sz w:val="44"/>
      <w:szCs w:val="44"/>
    </w:rPr>
  </w:style>
  <w:style w:type="table" w:customStyle="1" w:styleId="9">
    <w:name w:val="SGS Table Basic 11"/>
    <w:basedOn w:val="5"/>
    <w:uiPriority w:val="0"/>
    <w:pPr>
      <w:ind w:left="709" w:hanging="709"/>
    </w:pPr>
    <w:rPr>
      <w:rFonts w:ascii="Arial" w:hAnsi="Arial" w:cs="Times New Roman"/>
      <w:kern w:val="0"/>
      <w:sz w:val="20"/>
      <w:szCs w:val="20"/>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bottom w:val="single" w:color="363636" w:sz="12" w:space="0"/>
        </w:tcBorders>
      </w:tcPr>
    </w:tblStylePr>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2D0F0B-6C93-4253-935B-05B850758579}">
  <ds:schemaRefs/>
</ds:datastoreItem>
</file>

<file path=docProps/app.xml><?xml version="1.0" encoding="utf-8"?>
<Properties xmlns="http://schemas.openxmlformats.org/officeDocument/2006/extended-properties" xmlns:vt="http://schemas.openxmlformats.org/officeDocument/2006/docPropsVTypes">
  <Template>Normal</Template>
  <Company>jshl2015</Company>
  <Pages>49</Pages>
  <Words>3326</Words>
  <Characters>18964</Characters>
  <Lines>158</Lines>
  <Paragraphs>44</Paragraphs>
  <TotalTime>2</TotalTime>
  <ScaleCrop>false</ScaleCrop>
  <LinksUpToDate>false</LinksUpToDate>
  <CharactersWithSpaces>22246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2020-11-16T09:01:00Z</dcterms:created>
  <dc:creator>bailing</dc:creator>
  <cp:lastModifiedBy>USER</cp:lastModifiedBy>
  <cp:lastPrinted>2020-11-16T09:03:00Z</cp:lastPrinted>
  <dcterms:modified xsi:type="dcterms:W3CDTF">2020-11-17T06:52:42Z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